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E1" w:rsidRDefault="00CD52F3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>Uchwała Nr XXV/261/2016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9E09E1" w:rsidP="00AF51D8">
      <w:pPr>
        <w:jc w:val="center"/>
        <w:rPr>
          <w:sz w:val="28"/>
          <w:szCs w:val="28"/>
          <w:lang w:val="pl-PL"/>
        </w:rPr>
      </w:pPr>
      <w:r w:rsidRPr="00783488">
        <w:rPr>
          <w:sz w:val="28"/>
          <w:szCs w:val="28"/>
          <w:lang w:val="pl-PL"/>
        </w:rPr>
        <w:t xml:space="preserve">z dnia </w:t>
      </w:r>
      <w:r w:rsidR="00B41B7F">
        <w:rPr>
          <w:sz w:val="28"/>
          <w:szCs w:val="28"/>
          <w:lang w:val="pl-PL"/>
        </w:rPr>
        <w:t>19 grudnia 2016 r.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9E09E1" w:rsidRPr="00503CDE" w:rsidRDefault="009E09E1" w:rsidP="00AF51D8">
      <w:pPr>
        <w:keepNext/>
        <w:spacing w:after="480"/>
        <w:jc w:val="center"/>
        <w:rPr>
          <w:b/>
          <w:caps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sprawie </w:t>
      </w: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54AC0">
        <w:rPr>
          <w:b/>
          <w:sz w:val="28"/>
          <w:szCs w:val="28"/>
          <w:lang w:val="pl-PL"/>
        </w:rPr>
        <w:t>7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art. 228 i art. </w:t>
      </w:r>
      <w:r w:rsidRPr="00503CDE">
        <w:rPr>
          <w:lang w:val="pl-PL"/>
        </w:rPr>
        <w:t xml:space="preserve">230 ust. 6 ustawy z dnia 27 sierpnia 2009 r. o finansach publicznych </w:t>
      </w:r>
      <w:r>
        <w:rPr>
          <w:lang w:val="pl-PL"/>
        </w:rPr>
        <w:t xml:space="preserve"> </w:t>
      </w:r>
      <w:r w:rsidR="008C5A00">
        <w:rPr>
          <w:lang w:val="pl-PL"/>
        </w:rPr>
        <w:t>(Dz. U. z 2016</w:t>
      </w:r>
      <w:r w:rsidRPr="00F242F2">
        <w:rPr>
          <w:lang w:val="pl-PL"/>
        </w:rPr>
        <w:t xml:space="preserve"> r. poz</w:t>
      </w:r>
      <w:r w:rsidR="008C5A00">
        <w:rPr>
          <w:lang w:val="pl-PL"/>
        </w:rPr>
        <w:t>. 1870, 1948 i 1984</w:t>
      </w:r>
      <w:r w:rsidR="000A7ADF">
        <w:rPr>
          <w:lang w:val="pl-PL"/>
        </w:rPr>
        <w:t>)</w:t>
      </w:r>
      <w:r w:rsidR="000657D5">
        <w:rPr>
          <w:lang w:val="pl-PL"/>
        </w:rPr>
        <w:t xml:space="preserve"> </w:t>
      </w:r>
      <w:r w:rsidRPr="00503CDE">
        <w:rPr>
          <w:lang w:val="pl-PL"/>
        </w:rPr>
        <w:t>uchwala się, co następuje: </w:t>
      </w:r>
    </w:p>
    <w:p w:rsidR="009E09E1" w:rsidRDefault="009E09E1" w:rsidP="00AF51D8">
      <w:pPr>
        <w:keepLines/>
        <w:spacing w:before="240" w:after="120"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Pr="00503CDE">
        <w:rPr>
          <w:lang w:val="pl-PL"/>
        </w:rPr>
        <w:t>Uchwala się Wieloletnią Prognozę Finansową Mi</w:t>
      </w:r>
      <w:r>
        <w:rPr>
          <w:lang w:val="pl-PL"/>
        </w:rPr>
        <w:t xml:space="preserve">asta Inowrocławia na lata </w:t>
      </w:r>
      <w:r>
        <w:rPr>
          <w:lang w:val="pl-PL"/>
        </w:rPr>
        <w:br/>
        <w:t>201</w:t>
      </w:r>
      <w:r w:rsidR="000657D5">
        <w:rPr>
          <w:lang w:val="pl-PL"/>
        </w:rPr>
        <w:t>7</w:t>
      </w:r>
      <w:r w:rsidR="002937D1">
        <w:rPr>
          <w:lang w:val="pl-PL"/>
        </w:rPr>
        <w:t>-2028, zwaną dalej „</w:t>
      </w:r>
      <w:r w:rsidR="00361DA2">
        <w:rPr>
          <w:lang w:val="pl-PL"/>
        </w:rPr>
        <w:t>P</w:t>
      </w:r>
      <w:r w:rsidR="002937D1">
        <w:rPr>
          <w:lang w:val="pl-PL"/>
        </w:rPr>
        <w:t>rognozą”</w:t>
      </w:r>
      <w:r>
        <w:rPr>
          <w:lang w:val="pl-PL"/>
        </w:rPr>
        <w:t xml:space="preserve">, stanowiącą </w:t>
      </w:r>
      <w:r w:rsidRPr="00503CDE">
        <w:rPr>
          <w:lang w:val="pl-PL"/>
        </w:rPr>
        <w:t>załącznik</w:t>
      </w:r>
      <w:r>
        <w:rPr>
          <w:lang w:val="pl-PL"/>
        </w:rPr>
        <w:t xml:space="preserve"> nr </w:t>
      </w:r>
      <w:r w:rsidRPr="00503CDE">
        <w:rPr>
          <w:lang w:val="pl-PL"/>
        </w:rPr>
        <w:t>1</w:t>
      </w:r>
      <w:r>
        <w:rPr>
          <w:lang w:val="pl-PL"/>
        </w:rPr>
        <w:t xml:space="preserve"> do uchwały, w skład której wchodzą:</w:t>
      </w:r>
    </w:p>
    <w:p w:rsidR="009E09E1" w:rsidRDefault="002937D1" w:rsidP="00F34599">
      <w:pPr>
        <w:keepLines/>
        <w:rPr>
          <w:lang w:val="pl-PL"/>
        </w:rPr>
      </w:pPr>
      <w:r>
        <w:rPr>
          <w:lang w:val="pl-PL"/>
        </w:rPr>
        <w:t>1)</w:t>
      </w:r>
      <w:r w:rsidR="009E09E1" w:rsidRPr="00503CDE">
        <w:rPr>
          <w:lang w:val="pl-PL"/>
        </w:rPr>
        <w:t> </w:t>
      </w:r>
      <w:r w:rsidR="009E09E1">
        <w:rPr>
          <w:lang w:val="pl-PL"/>
        </w:rPr>
        <w:t>Wieloletnia</w:t>
      </w:r>
      <w:r w:rsidR="009E09E1" w:rsidRPr="00503CDE">
        <w:rPr>
          <w:lang w:val="pl-PL"/>
        </w:rPr>
        <w:t xml:space="preserve"> Prognoz</w:t>
      </w:r>
      <w:r w:rsidR="009E09E1">
        <w:rPr>
          <w:lang w:val="pl-PL"/>
        </w:rPr>
        <w:t>a</w:t>
      </w:r>
      <w:r w:rsidR="009E09E1" w:rsidRPr="00503CDE">
        <w:rPr>
          <w:lang w:val="pl-PL"/>
        </w:rPr>
        <w:t xml:space="preserve"> Finansow</w:t>
      </w:r>
      <w:r w:rsidR="000657D5">
        <w:rPr>
          <w:lang w:val="pl-PL"/>
        </w:rPr>
        <w:t>a na lata 2017</w:t>
      </w:r>
      <w:r w:rsidR="009E09E1">
        <w:rPr>
          <w:lang w:val="pl-PL"/>
        </w:rPr>
        <w:t>-2028;</w:t>
      </w:r>
    </w:p>
    <w:p w:rsidR="009E09E1" w:rsidRDefault="002937D1" w:rsidP="00F34599">
      <w:pPr>
        <w:keepLines/>
        <w:rPr>
          <w:lang w:val="pl-PL"/>
        </w:rPr>
      </w:pPr>
      <w:r>
        <w:rPr>
          <w:lang w:val="pl-PL"/>
        </w:rPr>
        <w:t xml:space="preserve">2) </w:t>
      </w:r>
      <w:r w:rsidR="009E09E1">
        <w:rPr>
          <w:lang w:val="pl-PL"/>
        </w:rPr>
        <w:t>objaśnienia do Wieloletniej</w:t>
      </w:r>
      <w:r w:rsidR="009E09E1" w:rsidRPr="00503CDE">
        <w:rPr>
          <w:lang w:val="pl-PL"/>
        </w:rPr>
        <w:t xml:space="preserve"> Prognoz</w:t>
      </w:r>
      <w:r w:rsidR="009E09E1">
        <w:rPr>
          <w:lang w:val="pl-PL"/>
        </w:rPr>
        <w:t>y</w:t>
      </w:r>
      <w:r w:rsidR="009E09E1" w:rsidRPr="00503CDE">
        <w:rPr>
          <w:lang w:val="pl-PL"/>
        </w:rPr>
        <w:t xml:space="preserve"> Finansow</w:t>
      </w:r>
      <w:r w:rsidR="009E09E1">
        <w:rPr>
          <w:lang w:val="pl-PL"/>
        </w:rPr>
        <w:t>ej na lata 201</w:t>
      </w:r>
      <w:r>
        <w:rPr>
          <w:lang w:val="pl-PL"/>
        </w:rPr>
        <w:t>7</w:t>
      </w:r>
      <w:r w:rsidR="009E09E1">
        <w:rPr>
          <w:lang w:val="pl-PL"/>
        </w:rPr>
        <w:t>-2028.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2937D1">
      <w:pPr>
        <w:keepLines/>
        <w:ind w:firstLine="851"/>
        <w:rPr>
          <w:lang w:val="pl-PL"/>
        </w:rPr>
      </w:pPr>
      <w:r w:rsidRPr="00503CDE">
        <w:rPr>
          <w:b/>
          <w:lang w:val="pl-PL"/>
        </w:rPr>
        <w:t>§ 2. </w:t>
      </w:r>
      <w:r w:rsidR="002937D1">
        <w:rPr>
          <w:lang w:val="pl-PL"/>
        </w:rPr>
        <w:t>Określa się wykaz przedsięwzięć</w:t>
      </w:r>
      <w:r>
        <w:rPr>
          <w:lang w:val="pl-PL"/>
        </w:rPr>
        <w:t xml:space="preserve"> </w:t>
      </w:r>
      <w:r w:rsidR="00D44578">
        <w:rPr>
          <w:lang w:val="pl-PL"/>
        </w:rPr>
        <w:t xml:space="preserve">przewidzianych do </w:t>
      </w:r>
      <w:r>
        <w:rPr>
          <w:lang w:val="pl-PL"/>
        </w:rPr>
        <w:t>realiz</w:t>
      </w:r>
      <w:r w:rsidR="00D44578">
        <w:rPr>
          <w:lang w:val="pl-PL"/>
        </w:rPr>
        <w:t>acji</w:t>
      </w:r>
      <w:r w:rsidR="009C69AB">
        <w:rPr>
          <w:lang w:val="pl-PL"/>
        </w:rPr>
        <w:t xml:space="preserve"> w latach</w:t>
      </w:r>
      <w:r w:rsidR="009C69AB">
        <w:rPr>
          <w:lang w:val="pl-PL"/>
        </w:rPr>
        <w:br/>
      </w:r>
      <w:r>
        <w:rPr>
          <w:lang w:val="pl-PL"/>
        </w:rPr>
        <w:t>201</w:t>
      </w:r>
      <w:r w:rsidR="000657D5">
        <w:rPr>
          <w:lang w:val="pl-PL"/>
        </w:rPr>
        <w:t>7</w:t>
      </w:r>
      <w:r w:rsidR="002937D1">
        <w:rPr>
          <w:lang w:val="pl-PL"/>
        </w:rPr>
        <w:t>-2</w:t>
      </w:r>
      <w:r w:rsidR="000657D5">
        <w:rPr>
          <w:lang w:val="pl-PL"/>
        </w:rPr>
        <w:t>020</w:t>
      </w:r>
      <w:r w:rsidRPr="00503CDE">
        <w:rPr>
          <w:lang w:val="pl-PL"/>
        </w:rPr>
        <w:t xml:space="preserve">, zgodnie z załącznikiem </w:t>
      </w:r>
      <w:r>
        <w:rPr>
          <w:lang w:val="pl-PL"/>
        </w:rPr>
        <w:t>nr 2 do uchwały</w:t>
      </w:r>
      <w:r w:rsidRPr="00503CDE">
        <w:rPr>
          <w:lang w:val="pl-PL"/>
        </w:rPr>
        <w:t>. 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>
        <w:rPr>
          <w:b/>
          <w:lang w:val="pl-PL"/>
        </w:rPr>
        <w:t>§ 3</w:t>
      </w:r>
      <w:r w:rsidRPr="00503CDE">
        <w:rPr>
          <w:b/>
          <w:lang w:val="pl-PL"/>
        </w:rPr>
        <w:t>. </w:t>
      </w:r>
      <w:r w:rsidRPr="00503CDE">
        <w:rPr>
          <w:lang w:val="pl-PL"/>
        </w:rPr>
        <w:t xml:space="preserve">Upoważnia się Prezydenta Miasta Inowrocławia do zaciągania zobowiązań związanych z realizacją przedsięwzięć określonych w załączniku </w:t>
      </w:r>
      <w:r>
        <w:rPr>
          <w:lang w:val="pl-PL"/>
        </w:rPr>
        <w:t>nr 2 do uchwały</w:t>
      </w:r>
      <w:r w:rsidRPr="00503CDE">
        <w:rPr>
          <w:lang w:val="pl-PL"/>
        </w:rPr>
        <w:t>. 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>
        <w:rPr>
          <w:b/>
          <w:lang w:val="pl-PL"/>
        </w:rPr>
        <w:t>§ 4</w:t>
      </w:r>
      <w:r w:rsidRPr="00503CDE">
        <w:rPr>
          <w:b/>
          <w:lang w:val="pl-PL"/>
        </w:rPr>
        <w:t>. </w:t>
      </w:r>
      <w:r w:rsidRPr="00503CDE">
        <w:rPr>
          <w:lang w:val="pl-PL"/>
        </w:rPr>
        <w:t>Upoważnia się Prezydenta Miasta Inowrocławia do zaciągania zobowiązań z tytułu umów, których realizacja w roku budżetowym i w latach następnych jest niezbędna do zapewnienia ciągłości działania jednostki</w:t>
      </w:r>
      <w:r>
        <w:rPr>
          <w:lang w:val="pl-PL"/>
        </w:rPr>
        <w:t>,</w:t>
      </w:r>
      <w:r w:rsidRPr="00503CDE">
        <w:rPr>
          <w:lang w:val="pl-PL"/>
        </w:rPr>
        <w:t xml:space="preserve"> i z których wynikają płatności wykraczające poza rok budżetowy. 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>
        <w:rPr>
          <w:b/>
          <w:lang w:val="pl-PL"/>
        </w:rPr>
        <w:t>§ 5</w:t>
      </w:r>
      <w:r w:rsidRPr="00503CDE">
        <w:rPr>
          <w:b/>
          <w:lang w:val="pl-PL"/>
        </w:rPr>
        <w:t>. </w:t>
      </w:r>
      <w:r w:rsidRPr="00503CDE">
        <w:rPr>
          <w:lang w:val="pl-PL"/>
        </w:rPr>
        <w:t>Upoważnia się Prezydenta Miasta Inowrocławia do przekazania uprawnień w zakresie zaciągania zobowiązań, określonych w §§</w:t>
      </w:r>
      <w:r>
        <w:rPr>
          <w:lang w:val="pl-PL"/>
        </w:rPr>
        <w:t xml:space="preserve"> 3  i 4</w:t>
      </w:r>
      <w:r w:rsidRPr="00503CDE">
        <w:rPr>
          <w:lang w:val="pl-PL"/>
        </w:rPr>
        <w:t>, kierownikom jednostek organizacyjnych realizujący</w:t>
      </w:r>
      <w:r>
        <w:rPr>
          <w:lang w:val="pl-PL"/>
        </w:rPr>
        <w:t>ch</w:t>
      </w:r>
      <w:r w:rsidRPr="00503CDE">
        <w:rPr>
          <w:lang w:val="pl-PL"/>
        </w:rPr>
        <w:t xml:space="preserve"> przedsięwzięcia ujęte w załączniku </w:t>
      </w:r>
      <w:r>
        <w:rPr>
          <w:lang w:val="pl-PL"/>
        </w:rPr>
        <w:t>nr 2</w:t>
      </w:r>
      <w:r w:rsidRPr="00503CDE">
        <w:rPr>
          <w:lang w:val="pl-PL"/>
        </w:rPr>
        <w:t> do uchwały. </w:t>
      </w:r>
    </w:p>
    <w:p w:rsidR="009E09E1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 w:rsidRPr="00503CDE">
        <w:rPr>
          <w:b/>
          <w:lang w:val="pl-PL"/>
        </w:rPr>
        <w:t>§</w:t>
      </w:r>
      <w:r>
        <w:rPr>
          <w:b/>
          <w:lang w:val="pl-PL"/>
        </w:rPr>
        <w:t xml:space="preserve"> 6. </w:t>
      </w:r>
      <w:r>
        <w:rPr>
          <w:lang w:val="pl-PL"/>
        </w:rPr>
        <w:t>Wykonanie uchwały powierza się Prezydentowi Miasta Inowrocławia.</w:t>
      </w:r>
    </w:p>
    <w:p w:rsidR="009E09E1" w:rsidRPr="00F242F2" w:rsidRDefault="009E09E1" w:rsidP="00AF51D8">
      <w:pPr>
        <w:keepLines/>
        <w:ind w:firstLine="851"/>
        <w:rPr>
          <w:lang w:val="pl-PL"/>
        </w:rPr>
      </w:pPr>
    </w:p>
    <w:p w:rsidR="009E09E1" w:rsidRPr="003B4D4C" w:rsidRDefault="009E09E1" w:rsidP="00AF51D8">
      <w:pPr>
        <w:keepLines/>
        <w:ind w:firstLine="851"/>
        <w:rPr>
          <w:lang w:val="pl-PL"/>
        </w:rPr>
      </w:pPr>
      <w:r w:rsidRPr="00F242F2">
        <w:rPr>
          <w:b/>
          <w:lang w:val="pl-PL"/>
        </w:rPr>
        <w:t xml:space="preserve">§ </w:t>
      </w:r>
      <w:r>
        <w:rPr>
          <w:b/>
          <w:lang w:val="pl-PL"/>
        </w:rPr>
        <w:t>7</w:t>
      </w:r>
      <w:r w:rsidRPr="00F242F2">
        <w:rPr>
          <w:b/>
          <w:lang w:val="pl-PL"/>
        </w:rPr>
        <w:t>.</w:t>
      </w:r>
      <w:r>
        <w:rPr>
          <w:lang w:val="pl-PL"/>
        </w:rPr>
        <w:t xml:space="preserve"> </w:t>
      </w:r>
      <w:r w:rsidRPr="003B4D4C">
        <w:rPr>
          <w:lang w:val="pl-PL"/>
        </w:rPr>
        <w:t>T</w:t>
      </w:r>
      <w:r>
        <w:rPr>
          <w:lang w:val="pl-PL"/>
        </w:rPr>
        <w:t>raci moc uchwała nr</w:t>
      </w:r>
      <w:r w:rsidR="002937D1">
        <w:rPr>
          <w:lang w:val="pl-PL"/>
        </w:rPr>
        <w:t xml:space="preserve"> XV/141/2015</w:t>
      </w:r>
      <w:r>
        <w:rPr>
          <w:lang w:val="pl-PL"/>
        </w:rPr>
        <w:t xml:space="preserve"> Rady Miejskiej Inowrocławia z dnia </w:t>
      </w:r>
      <w:r>
        <w:rPr>
          <w:lang w:val="pl-PL"/>
        </w:rPr>
        <w:br/>
      </w:r>
      <w:r w:rsidR="002937D1">
        <w:rPr>
          <w:lang w:val="pl-PL"/>
        </w:rPr>
        <w:t>21 grudnia</w:t>
      </w:r>
      <w:r>
        <w:rPr>
          <w:lang w:val="pl-PL"/>
        </w:rPr>
        <w:t xml:space="preserve"> 201</w:t>
      </w:r>
      <w:r w:rsidR="002937D1">
        <w:rPr>
          <w:lang w:val="pl-PL"/>
        </w:rPr>
        <w:t>5</w:t>
      </w:r>
      <w:r>
        <w:rPr>
          <w:lang w:val="pl-PL"/>
        </w:rPr>
        <w:t xml:space="preserve"> r. w sprawie Wieloletniej Prognozy Finansowej Miasta Inowrocławia na lata 201</w:t>
      </w:r>
      <w:r w:rsidR="002937D1">
        <w:rPr>
          <w:lang w:val="pl-PL"/>
        </w:rPr>
        <w:t>6</w:t>
      </w:r>
      <w:r>
        <w:rPr>
          <w:lang w:val="pl-PL"/>
        </w:rPr>
        <w:t>-2028.</w:t>
      </w:r>
    </w:p>
    <w:p w:rsidR="009E09E1" w:rsidRPr="00C04F15" w:rsidRDefault="009E09E1" w:rsidP="008375DD">
      <w:pPr>
        <w:ind w:left="900"/>
        <w:rPr>
          <w:bCs/>
          <w:lang w:val="pl-PL"/>
        </w:rPr>
      </w:pPr>
    </w:p>
    <w:p w:rsidR="009E09E1" w:rsidRDefault="009E09E1" w:rsidP="00AF51D8">
      <w:pPr>
        <w:keepLines/>
        <w:spacing w:before="240" w:after="120"/>
        <w:ind w:firstLine="850"/>
        <w:rPr>
          <w:lang w:val="pl-PL"/>
        </w:rPr>
      </w:pPr>
      <w:r>
        <w:rPr>
          <w:b/>
          <w:lang w:val="pl-PL"/>
        </w:rPr>
        <w:t>§ 8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>
        <w:rPr>
          <w:lang w:val="pl-PL"/>
        </w:rPr>
        <w:t>i w życie z dniem 1 stycznia 201</w:t>
      </w:r>
      <w:r w:rsidR="000657D5">
        <w:rPr>
          <w:lang w:val="pl-PL"/>
        </w:rPr>
        <w:t>7</w:t>
      </w:r>
      <w:r>
        <w:rPr>
          <w:lang w:val="pl-PL"/>
        </w:rPr>
        <w:t xml:space="preserve"> r.</w:t>
      </w:r>
    </w:p>
    <w:p w:rsidR="009E09E1" w:rsidRDefault="009E09E1" w:rsidP="00AF51D8">
      <w:pPr>
        <w:keepLines/>
        <w:rPr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05"/>
        <w:gridCol w:w="5367"/>
      </w:tblGrid>
      <w:tr w:rsidR="009E09E1" w:rsidRPr="002958FD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1"/>
        <w:gridCol w:w="7011"/>
      </w:tblGrid>
      <w:tr w:rsidR="009E09E1" w:rsidRPr="002958FD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CD52F3">
              <w:rPr>
                <w:b/>
                <w:sz w:val="20"/>
                <w:szCs w:val="20"/>
                <w:lang w:val="pl-PL"/>
              </w:rPr>
              <w:t>XXV/261/2016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9E09E1" w:rsidP="00CD52F3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 xml:space="preserve">z dnia </w:t>
            </w:r>
            <w:r w:rsidR="00B41B7F">
              <w:rPr>
                <w:sz w:val="20"/>
                <w:szCs w:val="20"/>
                <w:lang w:val="pl-PL"/>
              </w:rPr>
              <w:t>19 grudnia 2016 r.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A54AC0">
        <w:rPr>
          <w:b/>
          <w:sz w:val="28"/>
          <w:szCs w:val="28"/>
        </w:rPr>
        <w:t>7</w:t>
      </w:r>
      <w:r w:rsidRPr="00CC378B">
        <w:rPr>
          <w:b/>
          <w:sz w:val="28"/>
          <w:szCs w:val="28"/>
        </w:rPr>
        <w:t>-2028</w:t>
      </w:r>
    </w:p>
    <w:p w:rsidR="009E09E1" w:rsidRDefault="009E09E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26"/>
        <w:gridCol w:w="1226"/>
        <w:gridCol w:w="1227"/>
        <w:gridCol w:w="1227"/>
        <w:gridCol w:w="1227"/>
        <w:gridCol w:w="1018"/>
        <w:gridCol w:w="1127"/>
        <w:gridCol w:w="1135"/>
        <w:gridCol w:w="1121"/>
        <w:gridCol w:w="1130"/>
        <w:gridCol w:w="1121"/>
      </w:tblGrid>
      <w:tr w:rsidR="002D41C1" w:rsidRPr="00026829" w:rsidTr="00C01A03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135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026829" w:rsidTr="00C01A03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249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80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D41C1" w:rsidRPr="00026829" w:rsidTr="00572A0D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fizycznych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prawnych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4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z tytułu dotacji i środków przeznaczonych na cele bieżące</w:t>
            </w:r>
          </w:p>
        </w:tc>
        <w:tc>
          <w:tcPr>
            <w:tcW w:w="40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0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z tytułu dotacji oraz środków przeznaczonych na inwestycje</w:t>
            </w:r>
          </w:p>
        </w:tc>
      </w:tr>
      <w:tr w:rsidR="002D41C1" w:rsidRPr="00026829" w:rsidTr="00572A0D">
        <w:trPr>
          <w:trHeight w:hRule="exact" w:val="1034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41C1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230 343 009,32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220 814 203,73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49 398 789,00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2 235 093,56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61 340 145,95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37 107 909,50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43 536 686,00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42 037 077,67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9 528 805,59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4 395 020,51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4 504 169,55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268 137 640,57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236 979 635,17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53 250 478,00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1 715 370,35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62 199 608,36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38 066 167,07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42 322 182,27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31 158 005,40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8 641 718,12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22 185 822,88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269 390 563,84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258 450 217,94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55 564 972,00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58 492 267,00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35 700 000,00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52 917 207,00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67 897 829,00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10 940 345,90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2 499 768,00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8 240 577,90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278 488 700,00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267 433 597,10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55 564 972,00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60 462 671,85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37 518 752,85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52 917 207,00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74 618 026,22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11 055 102,90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1 874 131,00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8 945 971,90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279 510 650,00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270 122 650,00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59 535 112,00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62 052 606,00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53 800 630,00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67 555 168,00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3 900 050,00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5 362 950,00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302 976 380,00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275 120 130,00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61 461 130,00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38 300 000,00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74 136 000,00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27 856 250,00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26 656 250,00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292 652 335,00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280 587 335,00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64 210 000,00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62 432 135,00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38 800 000,00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57 900 000,00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74 236 000,00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12 065 000,00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1 157 500,00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10 817 500,00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288 204 140,00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285 549 140,00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62 818 140,00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60 100 000,00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74 236 000,00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2 655 000,00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1 042 500,00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1 542 500,00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292 043 100,00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290 633 100,00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63 503 920,00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62 300 000,00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74 256 000,00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298 129 458,00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296 819 458,00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71 600 000,00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64 901 530,00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40 471 000,00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64 500 000,00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74 301 000,00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260 000,00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302 521 090,00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301 311 090,00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64 785 090,00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40 875 000,00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66 600 000,00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74 346 000,00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308 825 710,00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307 715 710,00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66 589 710,00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41 634 000,00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68 700 000,00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74 396 000,00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314 421 390,00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313 411 390,00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78 800 000,00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67 315 390,00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42 403 000,00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74 436 000,00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319 750 140,00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318 750 140,00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81 000 000,00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68 148 140,00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43 180 000,00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72 900 000,00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74 481 000,00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322 007 940,00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321 007 940,00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81 100 000,00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69 101 940,00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43 975 000,00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74 526 000,00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572A0D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323 938 690,00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323 038 690,00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69 937 690,00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44 753 000,00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74 571 000,00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B43038" w:rsidRDefault="00B43038" w:rsidP="00654B4F"/>
    <w:p w:rsidR="00B43038" w:rsidRDefault="00B43038" w:rsidP="00654B4F"/>
    <w:p w:rsidR="00B43038" w:rsidRDefault="00B4303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77"/>
        <w:gridCol w:w="1277"/>
        <w:gridCol w:w="1277"/>
        <w:gridCol w:w="1277"/>
        <w:gridCol w:w="1277"/>
        <w:gridCol w:w="1277"/>
        <w:gridCol w:w="1278"/>
        <w:gridCol w:w="1281"/>
        <w:gridCol w:w="1297"/>
        <w:gridCol w:w="1267"/>
      </w:tblGrid>
      <w:tr w:rsidR="002D41C1" w:rsidRPr="00026829" w:rsidTr="00B43038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17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026829" w:rsidTr="00C01A03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320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Wydatki majątkowe</w:t>
            </w:r>
          </w:p>
        </w:tc>
      </w:tr>
      <w:tr w:rsidR="002D41C1" w:rsidRPr="00026829" w:rsidTr="00C01A03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z tytułu poręczeń i gwarancji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41C1" w:rsidRPr="00026829" w:rsidTr="00C01A03">
        <w:trPr>
          <w:trHeight w:hRule="exact" w:val="20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gwarancje i poręczenia podlegające wyłączeniu z limitu spłaty zobowiązań, o którym mowa w art. 243 ustawy</w:t>
            </w: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odsetki i dyskonto określone w art. 243 ust. 1 ustawy</w:t>
            </w:r>
          </w:p>
        </w:tc>
        <w:tc>
          <w:tcPr>
            <w:tcW w:w="92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41C1" w:rsidRPr="00026829" w:rsidTr="00C01A03">
        <w:trPr>
          <w:trHeight w:hRule="exact" w:val="49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6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z tytułu zobowiązań  zaciągniętych na wkład krajowy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br/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C01A03">
        <w:trPr>
          <w:trHeight w:val="184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C01A03">
        <w:trPr>
          <w:trHeight w:val="184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227 836 789,79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208 102 621,99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24 826,24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554 612,09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19 734 167,80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257 625 457,32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217 685 959,25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39 939 498,07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266 127 324,84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251 663 485,34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3 859 300,00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3 859 300,00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14 463 839,50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270 792 500,00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258 101 199,50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2 428 344,04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2 428 344,04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495 411,26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12 691 300,50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280 718 150,00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262 775 946,00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688 226,82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17 942 204,00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296 300 000,00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263 081 800,00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3 587 187,00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578 501,67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33 218 200,00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281 150 000,00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3 410 199,00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708 143,94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16 150 000,00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275 500 000,00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3 185 081,00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937 687,41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2 955 668,00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2 955 668,00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2 485 200,00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2 485 200,00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2 144 135,00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2 144 135,00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1 960 911,00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1 650 643,00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293 500 000,00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1 086 319,00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612 021,00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  <w:tr w:rsidR="00D71E54" w:rsidRPr="00026829" w:rsidTr="00C01A03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</w:tbl>
    <w:p w:rsidR="009E09E1" w:rsidRDefault="009E09E1" w:rsidP="00654B4F"/>
    <w:p w:rsidR="00B43038" w:rsidRDefault="00B43038" w:rsidP="00654B4F"/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1255"/>
        <w:gridCol w:w="1267"/>
        <w:gridCol w:w="1255"/>
        <w:gridCol w:w="1255"/>
        <w:gridCol w:w="1267"/>
        <w:gridCol w:w="1255"/>
        <w:gridCol w:w="1267"/>
        <w:gridCol w:w="1255"/>
        <w:gridCol w:w="1255"/>
        <w:gridCol w:w="1261"/>
      </w:tblGrid>
      <w:tr w:rsidR="002D41C1" w:rsidRPr="00026829" w:rsidTr="00B43038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Inne przychody niezwiązane z zaciągnięciem długu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D41C1" w:rsidRPr="00026829" w:rsidTr="00B43038">
        <w:trPr>
          <w:trHeight w:hRule="exact" w:val="707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 xml:space="preserve">na pokrycie deficytu </w:t>
            </w:r>
            <w:r w:rsidRPr="00026829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 xml:space="preserve">na pokrycie deficytu </w:t>
            </w:r>
            <w:r w:rsidRPr="00026829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 xml:space="preserve">na pokrycie deficytu </w:t>
            </w:r>
            <w:r w:rsidRPr="00026829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 xml:space="preserve">na pokrycie deficytu </w:t>
            </w:r>
            <w:r w:rsidRPr="00026829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10 065,13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3 263 239,00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4 025 247,00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7 696 200,00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4 024 450,00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2 066,00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-1 207 500,00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7 707 500,00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7 707 500,00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1 207 500,00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6 676 380,00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11 502 335,00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12 704 140,00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4 405 000,00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4 405 000,00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14 043 100,00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17 129 458,00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19 521 090,00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19 825 710,00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23 421 390,00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26 250 140,00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25 007 940,00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23 938 690,00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B43038" w:rsidRDefault="00B43038" w:rsidP="00654B4F"/>
    <w:p w:rsidR="00B43038" w:rsidRDefault="00B43038" w:rsidP="00654B4F"/>
    <w:p w:rsidR="00B43038" w:rsidRDefault="00B43038" w:rsidP="00654B4F"/>
    <w:p w:rsidR="00B43038" w:rsidRDefault="00B43038" w:rsidP="00654B4F"/>
    <w:p w:rsidR="009E09E1" w:rsidRDefault="009E09E1" w:rsidP="00654B4F"/>
    <w:p w:rsidR="00B43038" w:rsidRDefault="00B43038" w:rsidP="00654B4F"/>
    <w:p w:rsidR="00B43038" w:rsidRDefault="00B4303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728"/>
        <w:gridCol w:w="1728"/>
        <w:gridCol w:w="1728"/>
        <w:gridCol w:w="1742"/>
        <w:gridCol w:w="1728"/>
        <w:gridCol w:w="1728"/>
        <w:gridCol w:w="1731"/>
      </w:tblGrid>
      <w:tr w:rsidR="002D41C1" w:rsidRPr="00026829" w:rsidTr="00B43038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 xml:space="preserve">Rozchody </w:t>
            </w:r>
            <w:r w:rsidRPr="00026829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3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Spłaty rat kapitałowych kredytów i pożyczek oraz wykup papierów wartościowych</w:t>
            </w:r>
          </w:p>
        </w:tc>
        <w:tc>
          <w:tcPr>
            <w:tcW w:w="247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Inne rozchody niezwiązane ze spłatą długu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D41C1" w:rsidRPr="00026829" w:rsidTr="00B43038">
        <w:trPr>
          <w:trHeight w:hRule="exact" w:val="1179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innych niż określone w art. 243 ustawy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11 720 650,00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11 720 650,00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712 646,48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2 264 751,48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2 264 751,48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8 427 077,08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8 427 077,08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2 381 911,79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2 381 911,79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2323"/>
        <w:gridCol w:w="2995"/>
        <w:gridCol w:w="22"/>
        <w:gridCol w:w="2748"/>
        <w:gridCol w:w="22"/>
        <w:gridCol w:w="2874"/>
      </w:tblGrid>
      <w:tr w:rsidR="002D41C1" w:rsidRPr="00026829" w:rsidTr="00B43038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Relacja zrównoważenia wydatków bieżących, o której mowa w art. 242 ustawy</w:t>
            </w:r>
          </w:p>
        </w:tc>
      </w:tr>
      <w:tr w:rsidR="002D41C1" w:rsidRPr="00026829" w:rsidTr="00B43038">
        <w:trPr>
          <w:trHeight w:hRule="exact" w:val="849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Różnica między dochodami bieżącymi a  wydatkami bieżącymi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Różnica między dochodami bieżąc</w:t>
            </w:r>
            <w:r w:rsidR="00B43038" w:rsidRPr="00026829">
              <w:rPr>
                <w:color w:val="000000"/>
                <w:sz w:val="16"/>
                <w:szCs w:val="16"/>
                <w:lang w:val="pl-PL"/>
              </w:rPr>
              <w:t xml:space="preserve">ymi, skorygowanymi o środki 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t xml:space="preserve">a wydatkami bieżącymi, pomniejszonymi 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br/>
              <w:t>o wydatki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19 293 675,92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21 555 383,92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88 712 600,63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6 786 732,60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10 809 116,60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84 280 436,63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9 332 397,60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13 354 781,60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85 487 936,63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7 346 704,00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7 346 704,00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85 290 859,55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12 038 330,00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12 038 330,00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78 331 867,75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15 587 335,00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15 587 335,00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72 427 875,95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19 549 140,00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19 549 140,00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61 538 884,15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22 633 100,00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22 633 100,00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50 643 220,35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25 819 458,00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25 819 458,00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40 143 487,86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28 311 090,00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28 311 090,00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32 170 000,00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32 715 710,00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32 715 710,00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36 411 390,00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36 411 390,00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39 750 140,00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39 750 140,00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39 007 940,00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39 007 940,00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38 038 690,00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38 038 690,00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354"/>
        <w:gridCol w:w="1628"/>
        <w:gridCol w:w="1364"/>
        <w:gridCol w:w="1353"/>
        <w:gridCol w:w="1364"/>
        <w:gridCol w:w="1353"/>
        <w:gridCol w:w="1353"/>
        <w:gridCol w:w="1364"/>
        <w:gridCol w:w="1350"/>
      </w:tblGrid>
      <w:tr w:rsidR="002D41C1" w:rsidRPr="00026829" w:rsidTr="00B43038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2D41C1" w:rsidRPr="00026829" w:rsidTr="00B43038">
        <w:trPr>
          <w:trHeight w:hRule="exact" w:val="4049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 xml:space="preserve">Dopuszczalny wskaźnik spłaty zobowiązań określony w art. 243 ustawy, po uwzględnieniu ustawowych 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br/>
              <w:t xml:space="preserve">wyłączeń, 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12,74%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2D41C1" w:rsidRDefault="002D41C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58"/>
      </w:tblGrid>
      <w:tr w:rsidR="002D41C1" w:rsidRPr="00026829" w:rsidTr="00B43038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Informacje uzupełniające o wybranych rodzajach wydatków budżetowych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Spłaty kredytów, pożyczek i wykup papierów wartościowych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związane z funkcjonowaniem organów jednostki samorządu terytorialnego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majątkowe w formie dotacji</w:t>
            </w:r>
          </w:p>
        </w:tc>
      </w:tr>
      <w:tr w:rsidR="002D41C1" w:rsidRPr="00026829" w:rsidTr="00B43038">
        <w:trPr>
          <w:trHeight w:hRule="exact" w:val="1132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D41C1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609 028,34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88 541 679,35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16 753 768,72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8 425 048,50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8 425 048,50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6 276 101,50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7 787 738,00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7 696 200,00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89 928 041,64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17 884 902,72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6 974 117,50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6 962 989,50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5 252 613,50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7 038 687,00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91 735 336,00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19 192 214,00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12 068 193,00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58 310,00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12 009 883,00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5 695 621,00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11 846 583,00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6 676 380,00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6 676 380,00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32 101 682,00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32 098 000,00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2 573 000,00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29 125 000,00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11 502 335,00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10 258 991,80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12 704 140,00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7 625 000,00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7 625 000,00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6 225 000,00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14 043 100,00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10 888 991,80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17 129 458,00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10 895 663,00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19 521 090,00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10 499 732,49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19 825 710,00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7 973 487,86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23 421 390,00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8 135 000,00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26 250 140,00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25 007 940,00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23 938 690,00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6 749 751,28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</w:tbl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Pr="00821FDE" w:rsidRDefault="009E09E1" w:rsidP="00654B4F">
      <w:pPr>
        <w:rPr>
          <w:rFonts w:ascii="Arial" w:hAnsi="Arial" w:cs="Arial"/>
          <w:sz w:val="14"/>
          <w:szCs w:val="14"/>
          <w:lang w:val="pl-PL"/>
        </w:rPr>
      </w:pPr>
      <w:r w:rsidRPr="00821FDE">
        <w:rPr>
          <w:rFonts w:ascii="Arial" w:hAnsi="Arial" w:cs="Arial"/>
          <w:sz w:val="14"/>
          <w:szCs w:val="14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418"/>
        <w:gridCol w:w="1417"/>
        <w:gridCol w:w="1276"/>
      </w:tblGrid>
      <w:tr w:rsidR="009E09E1" w:rsidRPr="00AC3C7A" w:rsidTr="00654B4F">
        <w:tc>
          <w:tcPr>
            <w:tcW w:w="2376" w:type="dxa"/>
          </w:tcPr>
          <w:p w:rsidR="009E09E1" w:rsidRPr="003F55E6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2014</w:t>
            </w:r>
          </w:p>
        </w:tc>
        <w:tc>
          <w:tcPr>
            <w:tcW w:w="1418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1417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  <w:tc>
          <w:tcPr>
            <w:tcW w:w="1276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</w:tr>
      <w:tr w:rsidR="009E09E1" w:rsidRPr="00AC3C7A" w:rsidTr="00654B4F">
        <w:tc>
          <w:tcPr>
            <w:tcW w:w="2376" w:type="dxa"/>
          </w:tcPr>
          <w:p w:rsidR="009E09E1" w:rsidRPr="00AC3C7A" w:rsidRDefault="009E09E1" w:rsidP="00654B4F">
            <w:pPr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Nagrody jubileuszowe</w:t>
            </w:r>
          </w:p>
        </w:tc>
        <w:tc>
          <w:tcPr>
            <w:tcW w:w="1134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218 173</w:t>
            </w:r>
          </w:p>
        </w:tc>
        <w:tc>
          <w:tcPr>
            <w:tcW w:w="1418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135 857</w:t>
            </w:r>
          </w:p>
        </w:tc>
        <w:tc>
          <w:tcPr>
            <w:tcW w:w="1417" w:type="dxa"/>
          </w:tcPr>
          <w:p w:rsidR="009E09E1" w:rsidRPr="00AC3C7A" w:rsidRDefault="004C741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183 660</w:t>
            </w:r>
          </w:p>
        </w:tc>
        <w:tc>
          <w:tcPr>
            <w:tcW w:w="1276" w:type="dxa"/>
          </w:tcPr>
          <w:p w:rsidR="009E09E1" w:rsidRPr="00AC3C7A" w:rsidRDefault="004C741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222 534</w:t>
            </w:r>
          </w:p>
        </w:tc>
      </w:tr>
      <w:tr w:rsidR="009E09E1" w:rsidRPr="00AC3C7A" w:rsidTr="00654B4F">
        <w:tc>
          <w:tcPr>
            <w:tcW w:w="2376" w:type="dxa"/>
          </w:tcPr>
          <w:p w:rsidR="009E09E1" w:rsidRPr="00AC3C7A" w:rsidRDefault="009E09E1" w:rsidP="00654B4F">
            <w:pPr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Odprawy emerytalno-rentowe</w:t>
            </w:r>
          </w:p>
        </w:tc>
        <w:tc>
          <w:tcPr>
            <w:tcW w:w="1134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284 376</w:t>
            </w:r>
          </w:p>
        </w:tc>
        <w:tc>
          <w:tcPr>
            <w:tcW w:w="1418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200 108</w:t>
            </w:r>
          </w:p>
        </w:tc>
        <w:tc>
          <w:tcPr>
            <w:tcW w:w="1417" w:type="dxa"/>
          </w:tcPr>
          <w:p w:rsidR="009E09E1" w:rsidRPr="00AC3C7A" w:rsidRDefault="004C741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32 453</w:t>
            </w:r>
          </w:p>
        </w:tc>
        <w:tc>
          <w:tcPr>
            <w:tcW w:w="1276" w:type="dxa"/>
          </w:tcPr>
          <w:p w:rsidR="009E09E1" w:rsidRPr="00AC3C7A" w:rsidRDefault="00250501" w:rsidP="00250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372"/>
        <w:gridCol w:w="1373"/>
        <w:gridCol w:w="1376"/>
        <w:gridCol w:w="1373"/>
        <w:gridCol w:w="1373"/>
        <w:gridCol w:w="1376"/>
        <w:gridCol w:w="1373"/>
        <w:gridCol w:w="1373"/>
        <w:gridCol w:w="1496"/>
      </w:tblGrid>
      <w:tr w:rsidR="002D41C1" w:rsidRPr="00026829" w:rsidTr="00B43038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Dochody majątkowe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B43038">
        <w:trPr>
          <w:trHeight w:hRule="exact" w:val="1746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 xml:space="preserve">środki określone w art. 5 ust. 1 pkt 2 ustawy wynikające wyłącznie z  zawartych umów na realizację programu, projektu lub 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br/>
              <w:t>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1 732 460,64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1 542 608,09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529 789,64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103 421,04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103 421,04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103 421,04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7 170 806,00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269 288,04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170 542,04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269 288,04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726 233,05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726 233,05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726 233,05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7 860 175,00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7 860 175,00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7 860 175,00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813 612,05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796 247,05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796 247,05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4 783 750,00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4 783 750,00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1 096 284,00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1 063 669,00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1 063 669,00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26 463 750,00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26 463 750,00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308"/>
        <w:gridCol w:w="1309"/>
        <w:gridCol w:w="1415"/>
        <w:gridCol w:w="1426"/>
        <w:gridCol w:w="1415"/>
        <w:gridCol w:w="1415"/>
        <w:gridCol w:w="1426"/>
        <w:gridCol w:w="1415"/>
        <w:gridCol w:w="1426"/>
      </w:tblGrid>
      <w:tr w:rsidR="002D41C1" w:rsidRPr="00026829" w:rsidTr="00B43038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41C1" w:rsidRPr="00026829" w:rsidTr="00B43038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D41C1" w:rsidRPr="00026829" w:rsidTr="00B43038">
        <w:trPr>
          <w:trHeight w:hRule="exact" w:val="2833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</w:tr>
      <w:tr w:rsidR="002D41C1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25 735 490,84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647 412,00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8 017 900,00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6 506 650,00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6 506 650,00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1 511 250,00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29 125 000,00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24 756 250,00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24 756 250,00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4 368 750,00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12 500 000,00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1 875 000,00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71E54" w:rsidRPr="00026829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Pr="00026829" w:rsidRDefault="00D71E54" w:rsidP="00D71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1E54" w:rsidRDefault="00D71E54" w:rsidP="00D71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473"/>
        <w:gridCol w:w="1473"/>
        <w:gridCol w:w="1362"/>
        <w:gridCol w:w="1373"/>
        <w:gridCol w:w="1362"/>
        <w:gridCol w:w="1362"/>
        <w:gridCol w:w="1362"/>
        <w:gridCol w:w="1362"/>
        <w:gridCol w:w="1370"/>
      </w:tblGrid>
      <w:tr w:rsidR="002D41C1" w:rsidRPr="00026829" w:rsidTr="00B43038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9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Wydatki bieżące na pokrycie ujemnego wyniku finansowego samodzielnego publicznego zakładu opieki zdrowotnej</w:t>
            </w:r>
          </w:p>
        </w:tc>
      </w:tr>
      <w:tr w:rsidR="002D41C1" w:rsidRPr="00026829" w:rsidTr="00B43038">
        <w:trPr>
          <w:trHeight w:hRule="exact" w:val="2692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3038" w:rsidRPr="00026829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3038" w:rsidRPr="00026829" w:rsidRDefault="00B43038" w:rsidP="00B430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B43038" w:rsidRDefault="00B43038" w:rsidP="00654B4F"/>
    <w:p w:rsidR="00B43038" w:rsidRDefault="00B43038" w:rsidP="00654B4F"/>
    <w:p w:rsidR="002D41C1" w:rsidRDefault="002D41C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728"/>
        <w:gridCol w:w="1728"/>
        <w:gridCol w:w="1728"/>
        <w:gridCol w:w="1728"/>
        <w:gridCol w:w="1728"/>
        <w:gridCol w:w="1731"/>
        <w:gridCol w:w="1728"/>
      </w:tblGrid>
      <w:tr w:rsidR="002D41C1" w:rsidRPr="00026829" w:rsidTr="00B43038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Dane uzupełniające o długu i jego spłacie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 xml:space="preserve">Kwota długu, którego planowana spłata dokona się z wydatków </w:t>
            </w:r>
            <w:r w:rsidRPr="00026829">
              <w:rPr>
                <w:color w:val="000000"/>
                <w:sz w:val="16"/>
                <w:szCs w:val="16"/>
                <w:lang w:val="pl-PL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026829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Wynik operacji niekasowych wpływających na kwotę długu ( m.in. umorzenia, różnice kursowe)</w:t>
            </w:r>
          </w:p>
        </w:tc>
      </w:tr>
      <w:tr w:rsidR="002D41C1" w:rsidRPr="00026829" w:rsidTr="00B43038">
        <w:trPr>
          <w:trHeight w:hRule="exact" w:val="1274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związane z umowami zaliczanymi do tytułów dłużnych wliczanych do państwowego długu publicznego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026829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026829">
              <w:rPr>
                <w:color w:val="000000"/>
                <w:sz w:val="16"/>
                <w:szCs w:val="16"/>
                <w:lang w:val="pl-PL"/>
              </w:rPr>
              <w:t>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D41C1" w:rsidRPr="00026829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026829" w:rsidRDefault="002D41C1" w:rsidP="00F935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26829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D41C1" w:rsidRDefault="002D41C1" w:rsidP="00654B4F"/>
    <w:p w:rsidR="002D41C1" w:rsidRDefault="002D41C1" w:rsidP="00654B4F"/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</w:t>
      </w:r>
      <w:r w:rsidR="00A54AC0">
        <w:rPr>
          <w:b/>
          <w:sz w:val="28"/>
          <w:szCs w:val="28"/>
        </w:rPr>
        <w:t>7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D72E6B" w:rsidRDefault="00D72E6B" w:rsidP="00D72E6B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>ono wzrost do</w:t>
      </w:r>
      <w:r w:rsidR="007A5497">
        <w:rPr>
          <w:lang w:val="pl-PL"/>
        </w:rPr>
        <w:t>chodów bieżących w 2017 r. o 1,0</w:t>
      </w:r>
      <w:r>
        <w:rPr>
          <w:lang w:val="pl-PL"/>
        </w:rPr>
        <w:t xml:space="preserve"> %, a w kolejnych latach następująco:</w:t>
      </w:r>
    </w:p>
    <w:p w:rsidR="00D72E6B" w:rsidRPr="00C409AD" w:rsidRDefault="00D72E6B" w:rsidP="00D72E6B">
      <w:pPr>
        <w:rPr>
          <w:sz w:val="16"/>
          <w:szCs w:val="16"/>
          <w:lang w:val="pl-PL"/>
        </w:rPr>
      </w:pPr>
    </w:p>
    <w:tbl>
      <w:tblPr>
        <w:tblW w:w="4627" w:type="pct"/>
        <w:tblLook w:val="01E0" w:firstRow="1" w:lastRow="1" w:firstColumn="1" w:lastColumn="1" w:noHBand="0" w:noVBand="0"/>
      </w:tblPr>
      <w:tblGrid>
        <w:gridCol w:w="95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68"/>
        <w:gridCol w:w="677"/>
      </w:tblGrid>
      <w:tr w:rsidR="00D72E6B" w:rsidRPr="00691F62" w:rsidTr="00D72E6B"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204159" w:rsidRDefault="00D72E6B" w:rsidP="00D72E6B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D72E6B" w:rsidRPr="00691F62" w:rsidTr="00D72E6B"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D72E6B" w:rsidRPr="00204159" w:rsidRDefault="00D72E6B" w:rsidP="00D72E6B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D72E6B" w:rsidP="00F5187A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F5187A">
              <w:rPr>
                <w:rFonts w:eastAsia="Calibri"/>
                <w:sz w:val="18"/>
                <w:szCs w:val="18"/>
                <w:lang w:val="pl-PL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D72E6B">
              <w:rPr>
                <w:rFonts w:eastAsia="Calibri"/>
                <w:sz w:val="18"/>
                <w:szCs w:val="18"/>
                <w:lang w:val="pl-PL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D72E6B" w:rsidP="00F5187A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F5187A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D72E6B" w:rsidP="00F5187A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F5187A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0,6</w:t>
            </w:r>
          </w:p>
        </w:tc>
      </w:tr>
    </w:tbl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oraz nieruchomości gruntowych zabudowanych i niezabudowanych.</w:t>
      </w:r>
    </w:p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 w:rsidR="00AB5A5E">
        <w:rPr>
          <w:lang w:val="pl-PL"/>
        </w:rPr>
        <w:t xml:space="preserve"> i </w:t>
      </w:r>
      <w:r w:rsidRPr="003B4D4C">
        <w:rPr>
          <w:lang w:val="pl-PL"/>
        </w:rPr>
        <w:t>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D72E6B" w:rsidRPr="000F6649" w:rsidRDefault="00D72E6B" w:rsidP="00D72E6B">
      <w:pPr>
        <w:rPr>
          <w:sz w:val="16"/>
          <w:szCs w:val="16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062"/>
      </w:tblGrid>
      <w:tr w:rsidR="00D72E6B" w:rsidRPr="002958FD" w:rsidTr="00D72E6B">
        <w:trPr>
          <w:trHeight w:val="240"/>
        </w:trPr>
        <w:tc>
          <w:tcPr>
            <w:tcW w:w="5000" w:type="pct"/>
            <w:gridSpan w:val="4"/>
          </w:tcPr>
          <w:p w:rsidR="00D72E6B" w:rsidRPr="00691F62" w:rsidRDefault="00D72E6B" w:rsidP="00D72E6B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280 718 150,00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262 775 946,00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17 942 204,00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F518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F5187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 w:rsidR="00F935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F518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F5187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081 800,00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59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33 2</w:t>
            </w:r>
            <w:r w:rsidR="00C2555F">
              <w:rPr>
                <w:color w:val="000000"/>
                <w:sz w:val="18"/>
                <w:szCs w:val="18"/>
              </w:rPr>
              <w:t>18 200,00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281 150 000,00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16 150 000,00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2E6B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  <w:r w:rsidR="00C2555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59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  <w:r w:rsidR="00C2555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594" w:rsidP="00F935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  <w:r w:rsidR="00C2555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D72E6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2555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293 500 000,00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14 5</w:t>
            </w:r>
            <w:r w:rsidR="00D72E6B">
              <w:rPr>
                <w:color w:val="000000"/>
                <w:sz w:val="18"/>
                <w:szCs w:val="18"/>
              </w:rPr>
              <w:t>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2E6B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C2555F">
              <w:rPr>
                <w:color w:val="000000"/>
                <w:sz w:val="18"/>
                <w:szCs w:val="18"/>
              </w:rPr>
              <w:t> 000 000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2E6B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  <w:r w:rsidR="00C2555F">
              <w:rPr>
                <w:color w:val="000000"/>
                <w:sz w:val="18"/>
                <w:szCs w:val="18"/>
              </w:rPr>
              <w:t> 000 000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D72E6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</w:tbl>
    <w:p w:rsidR="00D72E6B" w:rsidRPr="000F6649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D72E6B" w:rsidRDefault="00D72E6B" w:rsidP="00D72E6B">
      <w:pPr>
        <w:rPr>
          <w:lang w:val="pl-PL"/>
        </w:rPr>
      </w:pPr>
      <w:r>
        <w:rPr>
          <w:lang w:val="pl-PL"/>
        </w:rPr>
        <w:t xml:space="preserve">Planowane </w:t>
      </w:r>
      <w:r w:rsidR="00C2555F">
        <w:rPr>
          <w:lang w:val="pl-PL"/>
        </w:rPr>
        <w:t>nadwyżki budżetowe w latach 2018</w:t>
      </w:r>
      <w:r>
        <w:rPr>
          <w:lang w:val="pl-PL"/>
        </w:rPr>
        <w:t xml:space="preserve"> – 2028 przeznaczone zostaną na spłatę długu publicznego.</w:t>
      </w:r>
    </w:p>
    <w:p w:rsidR="00D72E6B" w:rsidRPr="000F6649" w:rsidRDefault="00D72E6B" w:rsidP="00D72E6B">
      <w:pPr>
        <w:rPr>
          <w:sz w:val="16"/>
          <w:szCs w:val="16"/>
          <w:lang w:val="pl-PL"/>
        </w:rPr>
      </w:pPr>
    </w:p>
    <w:p w:rsidR="00D72E6B" w:rsidRPr="003B4D4C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72E6B" w:rsidRPr="002958FD" w:rsidTr="00D72E6B">
        <w:trPr>
          <w:trHeight w:val="240"/>
        </w:trPr>
        <w:tc>
          <w:tcPr>
            <w:tcW w:w="5000" w:type="pct"/>
            <w:gridSpan w:val="4"/>
          </w:tcPr>
          <w:p w:rsidR="00D72E6B" w:rsidRPr="00691F62" w:rsidRDefault="00D72E6B" w:rsidP="00D72E6B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E9354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E93548" w:rsidP="00C855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1E5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12 014 264,08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1E5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8 427 077,08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3 587 187,00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13 669 190,80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3 410 199,00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3 185 081,00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13 844 659,80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2 955 668,00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13 380 863,80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59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10 895 663,00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2 485 200,00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12 643 867,49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2 144 135,00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9 934 398,86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7 973 487</w:t>
            </w:r>
            <w:r w:rsidR="00D72E6B">
              <w:rPr>
                <w:color w:val="000000"/>
                <w:sz w:val="18"/>
                <w:szCs w:val="18"/>
              </w:rPr>
              <w:t>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1 960 911,00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9 785 643,00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1 650 643,00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9 886 319,00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1 086 319,00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9 012 021,00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612 021,00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1E5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7 179 000,00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1E5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344 000,00</w:t>
            </w:r>
          </w:p>
        </w:tc>
      </w:tr>
    </w:tbl>
    <w:p w:rsidR="00D72E6B" w:rsidRPr="00691F62" w:rsidRDefault="00D72E6B" w:rsidP="00D72E6B">
      <w:pPr>
        <w:rPr>
          <w:sz w:val="16"/>
          <w:szCs w:val="16"/>
          <w:lang w:val="pl-PL"/>
        </w:rPr>
      </w:pPr>
    </w:p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D72E6B" w:rsidRPr="00691F62" w:rsidRDefault="00D72E6B" w:rsidP="00D72E6B">
      <w:pPr>
        <w:rPr>
          <w:sz w:val="16"/>
          <w:szCs w:val="16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D72E6B" w:rsidRPr="00C409AD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38"/>
        <w:gridCol w:w="1373"/>
        <w:gridCol w:w="1289"/>
        <w:gridCol w:w="1414"/>
        <w:gridCol w:w="1414"/>
        <w:gridCol w:w="1325"/>
        <w:gridCol w:w="1369"/>
      </w:tblGrid>
      <w:tr w:rsidR="00D72E6B" w:rsidRPr="001F60EB" w:rsidTr="00D72E6B">
        <w:tc>
          <w:tcPr>
            <w:tcW w:w="665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D72E6B" w:rsidRPr="001F60EB" w:rsidTr="00D72E6B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279 510 650,00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7 707 500,00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287 218 150,00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280 718 150,00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15AC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6 500 000,00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115AC4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287 218 150,00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302 976 380,00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870C2" w:rsidRDefault="001870C2" w:rsidP="00D72E6B">
            <w:pPr>
              <w:jc w:val="right"/>
              <w:rPr>
                <w:sz w:val="18"/>
                <w:szCs w:val="18"/>
              </w:rPr>
            </w:pPr>
            <w:r w:rsidRPr="001870C2">
              <w:rPr>
                <w:sz w:val="18"/>
                <w:szCs w:val="18"/>
              </w:rPr>
              <w:t>8 230 000,00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870C2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102996">
              <w:rPr>
                <w:bCs/>
                <w:color w:val="000000"/>
                <w:sz w:val="18"/>
                <w:szCs w:val="18"/>
              </w:rPr>
              <w:t>11 206 380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297 300 000,00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15AC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8 427 077,08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115AC4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305 727 077,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292 652 335,00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870C2" w:rsidRDefault="001870C2" w:rsidP="00D72E6B">
            <w:pPr>
              <w:jc w:val="right"/>
              <w:rPr>
                <w:sz w:val="18"/>
                <w:szCs w:val="18"/>
              </w:rPr>
            </w:pPr>
            <w:r w:rsidRPr="001870C2">
              <w:rPr>
                <w:sz w:val="18"/>
                <w:szCs w:val="18"/>
              </w:rPr>
              <w:t>3 300 000,00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870C2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="00102996">
              <w:rPr>
                <w:bCs/>
                <w:color w:val="000000"/>
                <w:sz w:val="18"/>
                <w:szCs w:val="18"/>
              </w:rPr>
              <w:t>5 952 335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281 150 000,00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291 408 991,80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288 204 140,00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924D8D" w:rsidRDefault="00924D8D" w:rsidP="00D72E6B">
            <w:pPr>
              <w:jc w:val="right"/>
              <w:rPr>
                <w:sz w:val="18"/>
                <w:szCs w:val="18"/>
              </w:rPr>
            </w:pPr>
            <w:r w:rsidRPr="00924D8D">
              <w:rPr>
                <w:sz w:val="18"/>
                <w:szCs w:val="18"/>
              </w:rPr>
              <w:t>4 405 000,00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102996">
              <w:rPr>
                <w:bCs/>
                <w:color w:val="000000"/>
                <w:sz w:val="18"/>
                <w:szCs w:val="18"/>
              </w:rPr>
              <w:t>92 609 140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10 308 991,80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285 808 991,80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292 043 100,00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292 043 100,00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10 888 991,80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288 888 991,80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298 129 458,00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298 129 458,00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10 895 663,00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291 895 663,80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302 521 090,00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302 521 090,00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10 499 732,49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293 499 732,49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308 825 710,00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308 825 710,00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7 973 487,86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296 973 487,86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314 421 390,00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314 421 390,00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299 135 000,00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319 750 140,00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319 750 140,00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293 500 000,00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302 300 000,00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322 007 940,00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322 007 940,00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305 400 000,00</w:t>
            </w:r>
          </w:p>
        </w:tc>
      </w:tr>
      <w:tr w:rsidR="00102996" w:rsidRPr="001F60EB" w:rsidTr="00102996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323 938 690,00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323 938 690,00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D71E54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D71E54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306 835 000,00</w:t>
            </w:r>
          </w:p>
        </w:tc>
      </w:tr>
    </w:tbl>
    <w:p w:rsidR="00D72E6B" w:rsidRPr="000C7626" w:rsidRDefault="00D72E6B" w:rsidP="00D72E6B">
      <w:pPr>
        <w:rPr>
          <w:sz w:val="16"/>
          <w:szCs w:val="16"/>
        </w:rPr>
      </w:pPr>
    </w:p>
    <w:p w:rsidR="00D72E6B" w:rsidRDefault="00D72E6B" w:rsidP="00D72E6B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72E6B" w:rsidRPr="00691F62" w:rsidTr="00D72E6B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270 122 650,00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262 775 946,00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7 346 704,00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275 120 130,00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102996">
              <w:rPr>
                <w:color w:val="000000"/>
                <w:sz w:val="18"/>
                <w:szCs w:val="18"/>
              </w:rPr>
              <w:t>3</w:t>
            </w:r>
            <w:r w:rsidR="005547FD">
              <w:rPr>
                <w:color w:val="000000"/>
                <w:sz w:val="18"/>
                <w:szCs w:val="18"/>
              </w:rPr>
              <w:t> 081 800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102996" w:rsidP="005547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12 038 330,00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280 587 335,00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15 587 335,00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285 549 140,00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19 549 140,00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290 633 100,00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22 633 100,00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296 819 458,00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5600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25 819 458,00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301 311 090,00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28 311 090,00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307 715 710,00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32 715 710,00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313 411 390,00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36 411 390,00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318 750 140,00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39 750 140,00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321 007 940,00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0A7A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39 007 940,00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323 038 690,00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38 038 090,00</w:t>
            </w:r>
          </w:p>
        </w:tc>
      </w:tr>
    </w:tbl>
    <w:p w:rsidR="00D72E6B" w:rsidRPr="00691F62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D72E6B" w:rsidRPr="00C409AD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0A7ADF" w:rsidP="00D72E6B">
      <w:pPr>
        <w:rPr>
          <w:lang w:val="pl-PL"/>
        </w:rPr>
      </w:pPr>
      <w:r>
        <w:rPr>
          <w:lang w:val="pl-PL"/>
        </w:rPr>
        <w:t>W roku 2017</w:t>
      </w:r>
      <w:r w:rsidR="00D72E6B">
        <w:rPr>
          <w:lang w:val="pl-PL"/>
        </w:rPr>
        <w:t xml:space="preserve"> limitowana ob</w:t>
      </w:r>
      <w:r w:rsidR="00115AC4">
        <w:rPr>
          <w:lang w:val="pl-PL"/>
        </w:rPr>
        <w:t>sługa długu stanowić będzie 2,70</w:t>
      </w:r>
      <w:r w:rsidR="00D72E6B">
        <w:rPr>
          <w:lang w:val="pl-PL"/>
        </w:rPr>
        <w:t xml:space="preserve"> % planowanych dochodów,                  co spełnia normę określoną w art. 243 ustawy o finansach publicznych z dnia 27 sierpnia 2009 r., bowiem dla </w:t>
      </w:r>
      <w:r w:rsidR="00D72E6B" w:rsidRPr="003B4D4C">
        <w:rPr>
          <w:lang w:val="pl-PL"/>
        </w:rPr>
        <w:t>201</w:t>
      </w:r>
      <w:r>
        <w:rPr>
          <w:lang w:val="pl-PL"/>
        </w:rPr>
        <w:t>7</w:t>
      </w:r>
      <w:r w:rsidR="00D72E6B" w:rsidRPr="003B4D4C">
        <w:rPr>
          <w:lang w:val="pl-PL"/>
        </w:rPr>
        <w:t xml:space="preserve"> r</w:t>
      </w:r>
      <w:r w:rsidR="00D72E6B">
        <w:rPr>
          <w:lang w:val="pl-PL"/>
        </w:rPr>
        <w:t>.</w:t>
      </w:r>
      <w:r w:rsidR="00D72E6B" w:rsidRPr="003B4D4C">
        <w:rPr>
          <w:lang w:val="pl-PL"/>
        </w:rPr>
        <w:t xml:space="preserve"> </w:t>
      </w:r>
      <w:r w:rsidR="00D72E6B">
        <w:rPr>
          <w:lang w:val="pl-PL"/>
        </w:rPr>
        <w:t xml:space="preserve">dopuszczalny </w:t>
      </w:r>
      <w:r w:rsidR="00D72E6B" w:rsidRPr="003B4D4C">
        <w:rPr>
          <w:lang w:val="pl-PL"/>
        </w:rPr>
        <w:t xml:space="preserve">wskaźnik </w:t>
      </w:r>
      <w:r w:rsidR="00D72E6B">
        <w:rPr>
          <w:lang w:val="pl-PL"/>
        </w:rPr>
        <w:t>obsługi długu</w:t>
      </w:r>
      <w:r w:rsidR="00D72E6B" w:rsidRPr="003B4D4C">
        <w:rPr>
          <w:lang w:val="pl-PL"/>
        </w:rPr>
        <w:t xml:space="preserve"> wyniesie </w:t>
      </w:r>
      <w:r w:rsidR="00D72E6B" w:rsidRPr="003B4D4C">
        <w:rPr>
          <w:vertAlign w:val="superscript"/>
          <w:lang w:val="pl-PL"/>
        </w:rPr>
        <w:t>1</w:t>
      </w:r>
      <w:r w:rsidR="00D72E6B" w:rsidRPr="003B4D4C">
        <w:rPr>
          <w:lang w:val="pl-PL"/>
        </w:rPr>
        <w:t>/</w:t>
      </w:r>
      <w:r w:rsidR="00D72E6B" w:rsidRPr="003B4D4C">
        <w:rPr>
          <w:vertAlign w:val="subscript"/>
          <w:lang w:val="pl-PL"/>
        </w:rPr>
        <w:t>3</w:t>
      </w:r>
      <w:r w:rsidR="00D72E6B" w:rsidRPr="003B4D4C">
        <w:rPr>
          <w:lang w:val="pl-PL"/>
        </w:rPr>
        <w:t xml:space="preserve"> wskaźników obliczonych dl</w:t>
      </w:r>
      <w:r w:rsidR="00D72E6B">
        <w:rPr>
          <w:lang w:val="pl-PL"/>
        </w:rPr>
        <w:t>a lat 201</w:t>
      </w:r>
      <w:r>
        <w:rPr>
          <w:lang w:val="pl-PL"/>
        </w:rPr>
        <w:t>4 – 2016</w:t>
      </w:r>
      <w:r w:rsidR="00D72E6B">
        <w:rPr>
          <w:lang w:val="pl-PL"/>
        </w:rPr>
        <w:t xml:space="preserve"> </w:t>
      </w:r>
      <w:r w:rsidR="00D72E6B" w:rsidRPr="003B4D4C">
        <w:rPr>
          <w:lang w:val="pl-PL"/>
        </w:rPr>
        <w:t>wg wzoru:</w:t>
      </w:r>
    </w:p>
    <w:p w:rsidR="00D72E6B" w:rsidRPr="003B4D4C" w:rsidRDefault="00D72E6B" w:rsidP="00D72E6B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D72E6B" w:rsidRPr="006C2D73" w:rsidTr="00D72E6B">
        <w:tc>
          <w:tcPr>
            <w:tcW w:w="1250" w:type="dxa"/>
            <w:tcBorders>
              <w:bottom w:val="single" w:sz="4" w:space="0" w:color="auto"/>
            </w:tcBorders>
          </w:tcPr>
          <w:p w:rsidR="00D72E6B" w:rsidRPr="006C2D73" w:rsidRDefault="00D72E6B" w:rsidP="00D72E6B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72E6B" w:rsidRPr="006C2D73" w:rsidRDefault="000A7ADF" w:rsidP="0082545D">
            <w:r>
              <w:t>3,4</w:t>
            </w:r>
            <w:r w:rsidR="0082545D">
              <w:t>5</w:t>
            </w:r>
            <w:r w:rsidR="00D72E6B" w:rsidRPr="006C2D73">
              <w:t>+7,43+</w:t>
            </w:r>
            <w:r w:rsidR="00D72E6B" w:rsidRPr="00F77A16">
              <w:t>10,42</w:t>
            </w: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0A7ADF" w:rsidP="00D72E6B">
            <w:pPr>
              <w:jc w:val="center"/>
            </w:pPr>
            <w:r>
              <w:t>7,10</w:t>
            </w:r>
            <w:r w:rsidR="00D72E6B">
              <w:t xml:space="preserve"> </w:t>
            </w:r>
            <w:r w:rsidR="00D72E6B" w:rsidRPr="006C2D73">
              <w:t xml:space="preserve"> %</w:t>
            </w:r>
          </w:p>
        </w:tc>
      </w:tr>
      <w:tr w:rsidR="00D72E6B" w:rsidRPr="006C2D73" w:rsidTr="00D72E6B">
        <w:tc>
          <w:tcPr>
            <w:tcW w:w="1250" w:type="dxa"/>
            <w:tcBorders>
              <w:top w:val="single" w:sz="4" w:space="0" w:color="auto"/>
            </w:tcBorders>
          </w:tcPr>
          <w:p w:rsidR="00D72E6B" w:rsidRPr="006C2D73" w:rsidRDefault="00D72E6B" w:rsidP="00D72E6B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72E6B" w:rsidRPr="006C2D73" w:rsidRDefault="00D72E6B" w:rsidP="00D72E6B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</w:tr>
    </w:tbl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p w:rsidR="009E09E1" w:rsidRPr="00F242F2" w:rsidRDefault="009E09E1" w:rsidP="00816B8C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1054"/>
      </w:tblGrid>
      <w:tr w:rsidR="00A600CF" w:rsidRPr="002958FD" w:rsidTr="00A600CF">
        <w:tc>
          <w:tcPr>
            <w:tcW w:w="4606" w:type="dxa"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1265"/>
              <w:gridCol w:w="1085"/>
              <w:gridCol w:w="1265"/>
              <w:gridCol w:w="1265"/>
              <w:gridCol w:w="957"/>
              <w:gridCol w:w="1278"/>
            </w:tblGrid>
            <w:tr w:rsidR="00900279" w:rsidRPr="002958FD" w:rsidTr="005547FD">
              <w:trPr>
                <w:trHeight w:val="630"/>
              </w:trPr>
              <w:tc>
                <w:tcPr>
                  <w:tcW w:w="434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Lata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Db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Sm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Wb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Do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wskaź</w:t>
                  </w: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nik w %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dopuszczalny wskaźnik obsługi długu</w:t>
                  </w: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 xml:space="preserve"> w %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 2014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220 814 203,73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3 945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 </w:t>
                  </w: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600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208 102 621,99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230 343 009,32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7,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4</w:t>
                  </w: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52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3216C1" w:rsidRDefault="00900279" w:rsidP="00900279">
                  <w:pPr>
                    <w:jc w:val="center"/>
                    <w:rPr>
                      <w:sz w:val="18"/>
                      <w:szCs w:val="18"/>
                      <w:lang w:val="pl-PL" w:eastAsia="pl-PL"/>
                    </w:rPr>
                  </w:pPr>
                  <w:r w:rsidRPr="003216C1">
                    <w:rPr>
                      <w:sz w:val="18"/>
                      <w:szCs w:val="18"/>
                      <w:lang w:val="pl-PL" w:eastAsia="pl-PL"/>
                    </w:rPr>
                    <w:t>w 2015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3216C1" w:rsidRDefault="00900279" w:rsidP="00900279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3216C1">
                    <w:rPr>
                      <w:sz w:val="18"/>
                      <w:szCs w:val="18"/>
                      <w:lang w:val="pl-PL" w:eastAsia="pl-PL"/>
                    </w:rPr>
                    <w:t>236 979 635,17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8 641 718,12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217 685 959,25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268 137 640,57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10,42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ED738D" w:rsidRPr="002958FD" w:rsidRDefault="00ED738D" w:rsidP="00ED738D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7,88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267 433 597,10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5547FD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1 874 131,00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258 101 199,50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>278 488 700,00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4,02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7,88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270 122 650,00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3 900 000,00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262 775 946,00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279 510 650,00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4,02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7,29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275 120 130,00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1 100 000,00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263</w:t>
                  </w:r>
                  <w:r w:rsidR="00900279"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 081 800,00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302 976 380,00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4,34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6,15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280 587 335,00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1 157 500,00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265 000 000,00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292 652 335,00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5,72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4,13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285 549 140,00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1 042 500,00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266 000 000,00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288 204 140,00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7,14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4,69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2021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290 633 100,00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268 000 000,00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292 043 100,00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8,09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5,73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2022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296 819 458,00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271 000 000,00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298 129 458,00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9,00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6,98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2023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301 311 090,00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5547FD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</w:t>
                  </w:r>
                  <w:r w:rsidR="005547FD"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3</w:t>
                  </w: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302 521 090,00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9,69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8,08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2024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307 715 710,00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275 000 000,00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308 825 710,00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10,92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8,93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313 411 390,00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277 000 000,00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314 421 390,00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11,90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9,87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2026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318 750 140,00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279 000 000,00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319 750 140,00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12,74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10,84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2027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321 007 940,00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282 000 000,00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5547FD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322 007 940,00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12,42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11,85</w:t>
                  </w:r>
                </w:p>
              </w:tc>
            </w:tr>
            <w:tr w:rsidR="00900279" w:rsidRPr="002958FD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323 038 690,00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900 000,00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285 000 000,00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323 938 690,00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12,02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ED738D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12,35</w:t>
                  </w:r>
                </w:p>
              </w:tc>
            </w:tr>
          </w:tbl>
          <w:p w:rsidR="00900279" w:rsidRPr="0088700D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Pr="00C70CAA" w:rsidRDefault="00900279" w:rsidP="00900279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B4D4C">
              <w:rPr>
                <w:lang w:val="pl-PL"/>
              </w:rPr>
              <w:t xml:space="preserve">rognoza zakłada, iż </w:t>
            </w:r>
            <w:r>
              <w:rPr>
                <w:lang w:val="pl-PL"/>
              </w:rPr>
              <w:t xml:space="preserve">w 2018 r. limitowany </w:t>
            </w:r>
            <w:r w:rsidRPr="003B4D4C">
              <w:rPr>
                <w:lang w:val="pl-PL"/>
              </w:rPr>
              <w:t>koszt obsługi długu publicznego wyniesie</w:t>
            </w:r>
            <w:r>
              <w:rPr>
                <w:lang w:val="pl-PL"/>
              </w:rPr>
              <w:t xml:space="preserve"> </w:t>
            </w:r>
            <w:r w:rsidR="00115AC4">
              <w:rPr>
                <w:lang w:val="pl-PL"/>
              </w:rPr>
              <w:t>11 435 762,41</w:t>
            </w:r>
            <w:r>
              <w:rPr>
                <w:lang w:val="pl-PL"/>
              </w:rPr>
              <w:t> </w:t>
            </w:r>
            <w:r w:rsidRPr="003B4D4C">
              <w:rPr>
                <w:lang w:val="pl-PL"/>
              </w:rPr>
              <w:t xml:space="preserve"> zł, który obejmuje spłatę kapitału w kwocie </w:t>
            </w:r>
            <w:r w:rsidR="00115AC4">
              <w:rPr>
                <w:lang w:val="pl-PL"/>
              </w:rPr>
              <w:t>8 427 077,08</w:t>
            </w:r>
            <w:r>
              <w:rPr>
                <w:lang w:val="pl-PL"/>
              </w:rPr>
              <w:t xml:space="preserve"> </w:t>
            </w:r>
            <w:r w:rsidRPr="003B4D4C">
              <w:rPr>
                <w:lang w:val="pl-PL"/>
              </w:rPr>
              <w:t>zł oraz odsetki</w:t>
            </w:r>
            <w:r>
              <w:rPr>
                <w:lang w:val="pl-PL"/>
              </w:rPr>
              <w:t xml:space="preserve"> 3 008 685,33 zł. Stanowi on </w:t>
            </w:r>
            <w:r w:rsidR="00115AC4">
              <w:rPr>
                <w:lang w:val="pl-PL"/>
              </w:rPr>
              <w:t>2,41</w:t>
            </w:r>
            <w:r>
              <w:rPr>
                <w:lang w:val="pl-PL"/>
              </w:rPr>
              <w:t xml:space="preserve"> % prognozowanych dochodów. Dopuszczalny limitowany wskaźnik obsłu</w:t>
            </w:r>
            <w:r w:rsidR="00405C4B">
              <w:rPr>
                <w:lang w:val="pl-PL"/>
              </w:rPr>
              <w:t>gi długu w 2018 r. wyniesie 6,15</w:t>
            </w:r>
            <w:r>
              <w:rPr>
                <w:lang w:val="pl-PL"/>
              </w:rPr>
              <w:t xml:space="preserve"> % co oznacza, że spełniona zostanie norma określona w art. 243 ustawy o finansach publicznych</w:t>
            </w:r>
            <w:r w:rsidR="007A5F09">
              <w:rPr>
                <w:lang w:val="pl-PL"/>
              </w:rPr>
              <w:t xml:space="preserve"> oraz zalecenie Ministerstwa Finansów</w:t>
            </w:r>
            <w:r>
              <w:rPr>
                <w:lang w:val="pl-PL"/>
              </w:rPr>
              <w:t>.</w:t>
            </w:r>
          </w:p>
          <w:p w:rsidR="00900279" w:rsidRPr="0088700D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Default="00900279" w:rsidP="00900279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C70CAA">
              <w:rPr>
                <w:lang w:val="pl-PL"/>
              </w:rPr>
              <w:t>akłada się, że</w:t>
            </w:r>
            <w:r>
              <w:rPr>
                <w:lang w:val="pl-PL"/>
              </w:rPr>
              <w:t xml:space="preserve"> w 2019 r. </w:t>
            </w:r>
            <w:r w:rsidRPr="00C70CAA">
              <w:rPr>
                <w:lang w:val="pl-PL"/>
              </w:rPr>
              <w:t xml:space="preserve">koszt obsługi długu publicznego wyniesie </w:t>
            </w:r>
            <w:r>
              <w:rPr>
                <w:lang w:val="pl-PL"/>
              </w:rPr>
              <w:t>13</w:t>
            </w:r>
            <w:r w:rsidR="007A5F09">
              <w:rPr>
                <w:lang w:val="pl-PL"/>
              </w:rPr>
              <w:t> 669 190,80</w:t>
            </w:r>
            <w:r w:rsidRPr="00C70CAA">
              <w:rPr>
                <w:lang w:val="pl-PL"/>
              </w:rPr>
              <w:t xml:space="preserve"> zł. Koszt ten obejmuje spłatę kapitału</w:t>
            </w:r>
            <w:r>
              <w:rPr>
                <w:lang w:val="pl-PL"/>
              </w:rPr>
              <w:t xml:space="preserve"> 10 258 991,80 </w:t>
            </w:r>
            <w:r w:rsidRPr="00C70CAA">
              <w:rPr>
                <w:lang w:val="pl-PL"/>
              </w:rPr>
              <w:t xml:space="preserve">zł oraz odsetki </w:t>
            </w:r>
            <w:r>
              <w:rPr>
                <w:lang w:val="pl-PL"/>
              </w:rPr>
              <w:t>3</w:t>
            </w:r>
            <w:r w:rsidR="007A5F09">
              <w:rPr>
                <w:lang w:val="pl-PL"/>
              </w:rPr>
              <w:t> 410 199</w:t>
            </w:r>
            <w:r>
              <w:rPr>
                <w:lang w:val="pl-PL"/>
              </w:rPr>
              <w:t xml:space="preserve"> zł. </w:t>
            </w:r>
            <w:r w:rsidRPr="00C70CAA">
              <w:rPr>
                <w:lang w:val="pl-PL"/>
              </w:rPr>
              <w:t xml:space="preserve">W spłacanym kapitale kwota </w:t>
            </w:r>
            <w:r>
              <w:rPr>
                <w:lang w:val="pl-PL"/>
              </w:rPr>
              <w:t xml:space="preserve">2 848 983,31 zł </w:t>
            </w:r>
            <w:r w:rsidRPr="00C70CAA">
              <w:rPr>
                <w:lang w:val="pl-PL"/>
              </w:rPr>
              <w:t>dotyczyć będzie długu zaciągniętego na realizację zadań posiadających dofinansowanie UE</w:t>
            </w:r>
            <w:r w:rsidR="007A5F09">
              <w:rPr>
                <w:lang w:val="pl-PL"/>
              </w:rPr>
              <w:t xml:space="preserve"> oraz odsetki w kwocie 708 143,94 zł</w:t>
            </w:r>
            <w:r w:rsidRPr="00C70CAA">
              <w:rPr>
                <w:lang w:val="pl-PL"/>
              </w:rPr>
              <w:t>, który nie podlega limitowaniu</w:t>
            </w:r>
            <w:r>
              <w:rPr>
                <w:lang w:val="pl-PL"/>
              </w:rPr>
              <w:t xml:space="preserve"> zgodnie z art. 243 ust. 3 i 3a ustawy o finansach publicznych. L</w:t>
            </w:r>
            <w:r w:rsidRPr="00C70CAA">
              <w:rPr>
                <w:lang w:val="pl-PL"/>
              </w:rPr>
              <w:t>imitowany koszt obsługi długu publicznego w 201</w:t>
            </w:r>
            <w:r>
              <w:rPr>
                <w:lang w:val="pl-PL"/>
              </w:rPr>
              <w:t>9</w:t>
            </w:r>
            <w:r w:rsidRPr="00C70CAA">
              <w:rPr>
                <w:lang w:val="pl-PL"/>
              </w:rPr>
              <w:t xml:space="preserve"> r. wyniesie</w:t>
            </w:r>
            <w:r>
              <w:rPr>
                <w:lang w:val="pl-PL"/>
              </w:rPr>
              <w:t xml:space="preserve"> 10</w:t>
            </w:r>
            <w:r w:rsidR="007A5F09">
              <w:rPr>
                <w:lang w:val="pl-PL"/>
              </w:rPr>
              <w:t> 112 063,55</w:t>
            </w:r>
            <w:r>
              <w:rPr>
                <w:lang w:val="pl-PL"/>
              </w:rPr>
              <w:t xml:space="preserve"> z</w:t>
            </w:r>
            <w:r w:rsidRPr="00C70CAA">
              <w:rPr>
                <w:lang w:val="pl-PL"/>
              </w:rPr>
              <w:t xml:space="preserve">ł, co w relacji </w:t>
            </w:r>
            <w:r w:rsidR="00D34996">
              <w:rPr>
                <w:lang w:val="pl-PL"/>
              </w:rPr>
              <w:t>do planowanych dochodów stanowi</w:t>
            </w:r>
            <w:r w:rsidR="007A5F09">
              <w:rPr>
                <w:lang w:val="pl-PL"/>
              </w:rPr>
              <w:t xml:space="preserve"> </w:t>
            </w:r>
            <w:r>
              <w:rPr>
                <w:lang w:val="pl-PL"/>
              </w:rPr>
              <w:t>3,4</w:t>
            </w:r>
            <w:r w:rsidR="007A5F09">
              <w:rPr>
                <w:lang w:val="pl-PL"/>
              </w:rPr>
              <w:t>6</w:t>
            </w:r>
            <w:r>
              <w:rPr>
                <w:lang w:val="pl-PL"/>
              </w:rPr>
              <w:t xml:space="preserve"> </w:t>
            </w:r>
            <w:r w:rsidRPr="00C70CAA">
              <w:rPr>
                <w:lang w:val="pl-PL"/>
              </w:rPr>
              <w:t>%. Oznacza to, że w 201</w:t>
            </w:r>
            <w:r>
              <w:rPr>
                <w:lang w:val="pl-PL"/>
              </w:rPr>
              <w:t>9</w:t>
            </w:r>
            <w:r w:rsidRPr="00C70CAA">
              <w:rPr>
                <w:lang w:val="pl-PL"/>
              </w:rPr>
              <w:t xml:space="preserve"> r. spełniony zostanie wa</w:t>
            </w:r>
            <w:r>
              <w:rPr>
                <w:lang w:val="pl-PL"/>
              </w:rPr>
              <w:t>runek określony w art. 243 ustawy o finansach publicznych, bowiem nie został przekroczony dopuszczalny wsk</w:t>
            </w:r>
            <w:r w:rsidR="00223FD8">
              <w:rPr>
                <w:lang w:val="pl-PL"/>
              </w:rPr>
              <w:t>aźnik, który dla 2019 r. wynosi</w:t>
            </w:r>
            <w:r w:rsidR="00223FD8">
              <w:rPr>
                <w:lang w:val="pl-PL"/>
              </w:rPr>
              <w:br/>
            </w:r>
            <w:r>
              <w:rPr>
                <w:lang w:val="pl-PL"/>
              </w:rPr>
              <w:t>3,</w:t>
            </w:r>
            <w:r w:rsidR="007A5F09">
              <w:rPr>
                <w:lang w:val="pl-PL"/>
              </w:rPr>
              <w:t>94</w:t>
            </w:r>
            <w:r>
              <w:rPr>
                <w:lang w:val="pl-PL"/>
              </w:rPr>
              <w:t xml:space="preserve"> %.</w:t>
            </w:r>
          </w:p>
          <w:p w:rsidR="00900279" w:rsidRPr="00D3343C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Default="00900279" w:rsidP="00900279">
            <w:pPr>
              <w:rPr>
                <w:lang w:val="pl-PL"/>
              </w:rPr>
            </w:pPr>
            <w:r>
              <w:rPr>
                <w:lang w:val="pl-PL"/>
              </w:rPr>
              <w:t xml:space="preserve">Warunek określony w art. 243 ustawy o finansach publicznych Miasto spełni </w:t>
            </w:r>
            <w:r w:rsidR="005547FD">
              <w:rPr>
                <w:lang w:val="pl-PL"/>
              </w:rPr>
              <w:t xml:space="preserve">również </w:t>
            </w:r>
            <w:r>
              <w:rPr>
                <w:lang w:val="pl-PL"/>
              </w:rPr>
              <w:t>w latach 2020-2028.</w:t>
            </w:r>
          </w:p>
          <w:p w:rsidR="00900279" w:rsidRPr="0003451E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03451E" w:rsidRDefault="0003451E" w:rsidP="00900279">
            <w:pPr>
              <w:rPr>
                <w:lang w:val="pl-PL"/>
              </w:rPr>
            </w:pPr>
            <w:r>
              <w:rPr>
                <w:lang w:val="pl-PL"/>
              </w:rPr>
              <w:t xml:space="preserve">Odpowiadając na uwagę Regionalnej Izby Obrachunkowej w Bydgoszczy dotyczącą zbyt małej różnicy między wskaźnikiem planowanym, a dopuszczalnym w zakresie obsługi długu – wyjaśnia się, że wynika ona z „ostrożnego” planowania. Potwierdzeniem tego jest fakt, że przyjęcie dla dochodów uzyskiwanych z tytułu udziałów w podatku dochodowym od osób fizycznych i subwencji </w:t>
            </w:r>
            <w:r w:rsidR="0082545D">
              <w:rPr>
                <w:lang w:val="pl-PL"/>
              </w:rPr>
              <w:t xml:space="preserve">- </w:t>
            </w:r>
            <w:r>
              <w:rPr>
                <w:lang w:val="pl-PL"/>
              </w:rPr>
              <w:t>wskaźników określonych przez Ministra Finansów w wytycznych dla założeń makroekonomicznych na potrzeby wieloletnich prognoz finansowych jst – powoduje, że różnice te są wyższe od 1 p. p. z wyjątkiem 2019 roku.</w:t>
            </w:r>
          </w:p>
          <w:p w:rsidR="0003451E" w:rsidRDefault="0003451E" w:rsidP="00900279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Przyczyna tego tkwi w zapisach dotyczących 2016 roku, który w wieloletniej prognozie finansowej posiada w wierszu „wykonanie 2016” wielkości planowane. Analizując jednak przedstawione w materiałach informacyjnych (zał</w:t>
            </w:r>
            <w:r w:rsidR="00223FD8">
              <w:rPr>
                <w:lang w:val="pl-PL"/>
              </w:rPr>
              <w:t>.</w:t>
            </w:r>
            <w:r>
              <w:rPr>
                <w:lang w:val="pl-PL"/>
              </w:rPr>
              <w:t xml:space="preserve"> nr 17) do projektu budżetu na 2017 rok </w:t>
            </w:r>
            <w:r w:rsidR="00223FD8">
              <w:rPr>
                <w:lang w:val="pl-PL"/>
              </w:rPr>
              <w:t>– przewidywane wykonanie dochodów i wydatków dla 2016 r. uzyskuje się informację, że wskaźnik obliczony dla tegoż roku wyniesie 5,59</w:t>
            </w:r>
            <w:r w:rsidR="009C61E9">
              <w:rPr>
                <w:lang w:val="pl-PL"/>
              </w:rPr>
              <w:t xml:space="preserve"> </w:t>
            </w:r>
            <w:r w:rsidR="00223FD8">
              <w:rPr>
                <w:lang w:val="pl-PL"/>
              </w:rPr>
              <w:t>%. Spowoduje to, że dopuszczalny wskaźnik na 2019 rok wyniesie 4,65 % przy planowanym 3,46</w:t>
            </w:r>
            <w:r w:rsidR="009C61E9">
              <w:rPr>
                <w:lang w:val="pl-PL"/>
              </w:rPr>
              <w:t xml:space="preserve"> </w:t>
            </w:r>
            <w:r w:rsidR="00223FD8">
              <w:rPr>
                <w:lang w:val="pl-PL"/>
              </w:rPr>
              <w:t>%. Zatem należy się spodziewać, że zachowane zostanie również w 2019 roku zalecenie Ministerstwa Finansów.</w:t>
            </w:r>
          </w:p>
          <w:p w:rsidR="00A600CF" w:rsidRDefault="00223FD8" w:rsidP="00816B8C">
            <w:pPr>
              <w:rPr>
                <w:lang w:val="pl-PL"/>
              </w:rPr>
            </w:pPr>
            <w:r>
              <w:rPr>
                <w:lang w:val="pl-PL"/>
              </w:rPr>
              <w:t>Przedstawione wyliczenia wskazują, że Miasto Inowrocław nie powinno mieć problemów z płynnością finansową. Na bieżąco monitoruje się sytuację finansową budżetu. Kontynuowana będzie zasada prz</w:t>
            </w:r>
            <w:r w:rsidR="009C61E9">
              <w:rPr>
                <w:lang w:val="pl-PL"/>
              </w:rPr>
              <w:t>edterminowego spłacania długu w</w:t>
            </w:r>
            <w:r>
              <w:rPr>
                <w:lang w:val="pl-PL"/>
              </w:rPr>
              <w:t xml:space="preserve"> ramach zaistniałych możliwości finansowych. Miasto zagwarantowało sobie taką możliwość w zawartych umowach z wierzycielami.</w:t>
            </w:r>
          </w:p>
        </w:tc>
        <w:tc>
          <w:tcPr>
            <w:tcW w:w="4606" w:type="dxa"/>
          </w:tcPr>
          <w:p w:rsidR="00A600CF" w:rsidRDefault="00A600CF" w:rsidP="00417FA9">
            <w:pPr>
              <w:rPr>
                <w:lang w:val="pl-PL"/>
              </w:rPr>
            </w:pPr>
          </w:p>
        </w:tc>
      </w:tr>
    </w:tbl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1"/>
        <w:gridCol w:w="7011"/>
      </w:tblGrid>
      <w:tr w:rsidR="009E09E1" w:rsidRPr="002958FD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CD52F3">
              <w:rPr>
                <w:b/>
                <w:sz w:val="20"/>
                <w:szCs w:val="20"/>
                <w:lang w:val="pl-PL"/>
              </w:rPr>
              <w:t>XXV/261/2016</w:t>
            </w:r>
          </w:p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9E09E1" w:rsidP="00CD52F3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 xml:space="preserve">z dnia </w:t>
            </w:r>
            <w:r w:rsidR="00CD52F3">
              <w:rPr>
                <w:sz w:val="20"/>
                <w:szCs w:val="20"/>
                <w:lang w:val="pl-PL"/>
              </w:rPr>
              <w:t>19 grudnia 2016</w:t>
            </w:r>
            <w:r w:rsidR="00B41B7F">
              <w:rPr>
                <w:sz w:val="20"/>
                <w:szCs w:val="20"/>
                <w:lang w:val="pl-PL"/>
              </w:rPr>
              <w:t xml:space="preserve">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</w:t>
      </w:r>
      <w:r w:rsidR="00A54AC0">
        <w:rPr>
          <w:b/>
          <w:sz w:val="28"/>
          <w:szCs w:val="28"/>
        </w:rPr>
        <w:t xml:space="preserve"> 2017</w:t>
      </w:r>
      <w:r w:rsidR="00417FA9">
        <w:rPr>
          <w:b/>
          <w:sz w:val="28"/>
          <w:szCs w:val="28"/>
        </w:rPr>
        <w:t>-2020</w:t>
      </w:r>
    </w:p>
    <w:p w:rsidR="009E09E1" w:rsidRPr="00CC378B" w:rsidRDefault="009E09E1" w:rsidP="00B579A9">
      <w:pPr>
        <w:jc w:val="center"/>
        <w:rPr>
          <w:b/>
          <w:sz w:val="28"/>
          <w:szCs w:val="28"/>
        </w:rPr>
      </w:pPr>
    </w:p>
    <w:p w:rsidR="00D84E5C" w:rsidRPr="000171C5" w:rsidRDefault="00D84E5C" w:rsidP="00816B8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80"/>
        <w:gridCol w:w="222"/>
      </w:tblGrid>
      <w:tr w:rsidR="009E09E1" w:rsidRPr="00D44578" w:rsidTr="00CC378B">
        <w:tc>
          <w:tcPr>
            <w:tcW w:w="7071" w:type="dxa"/>
          </w:tcPr>
          <w:p w:rsidR="009E09E1" w:rsidRDefault="009E09E1" w:rsidP="00CC378B"/>
          <w:tbl>
            <w:tblPr>
              <w:tblW w:w="139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125"/>
              <w:gridCol w:w="1149"/>
              <w:gridCol w:w="629"/>
              <w:gridCol w:w="655"/>
              <w:gridCol w:w="1170"/>
              <w:gridCol w:w="1023"/>
              <w:gridCol w:w="1023"/>
              <w:gridCol w:w="1113"/>
              <w:gridCol w:w="1113"/>
              <w:gridCol w:w="945"/>
              <w:gridCol w:w="1184"/>
            </w:tblGrid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Lp</w:t>
                  </w:r>
                </w:p>
              </w:tc>
              <w:tc>
                <w:tcPr>
                  <w:tcW w:w="3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Nazwa i cel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jednostka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Okres realizacji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Łączne nakłady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 xml:space="preserve">Limit 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odpowiedzialna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od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do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finansowe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zobowiązań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Przedsięwzięcia ogółem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81 635 560,76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6 974 117,50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12 068 193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32 101 682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14 150 000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7 625 000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65 944 875,0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 xml:space="preserve"> 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73 120,00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11 128,00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58 310,00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3 682,00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61 992,00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majątkowe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81 562 440,76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6 962 989,50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12 009 883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32 098 000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14 150 000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7 625 000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65 882 883,0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1) programy, projekty lub zadania (razem)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81 635 560,76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6 974 117,50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12 068 193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32 101 682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14 150 000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7 625 000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65 944 875,0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73 120,00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11 128,00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58 310,00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3 682,00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61 992,00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majątkowe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81 562 440,76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6 962 989,50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12 009 883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32 098 000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14 150 000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7 625 000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65 882 883</w:t>
                  </w:r>
                </w:p>
              </w:tc>
            </w:tr>
            <w:tr w:rsidR="00A115C5" w:rsidRPr="00A115C5" w:rsidTr="00A115C5">
              <w:trPr>
                <w:trHeight w:val="49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a) programy, projekty lub zadania związane z programami realizowanymi z udziałem środków, o których mowa w art.5 ust.1 pkt 2 i 3 (razem)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47 148 120,00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11 128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6 360 810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29 128 682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12 500 000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47 989 492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73 120,00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11 128,00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58 310,00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3 682,00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61 992,00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majątkowe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47 075 000,00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6 302 500,00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29 125 000,00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12 500 000,00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47 927 500,00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1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43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Regionalny Program Operacyjny Województwa Kujawsko-Pomorskiego na lata 2014-2020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26 198 120,00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11 128,00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1 558 310,00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19 128 682,00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5 500 000,00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0,00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26 186 992,00</w:t>
                  </w:r>
                </w:p>
              </w:tc>
            </w:tr>
            <w:tr w:rsidR="00A115C5" w:rsidRPr="00A115C5" w:rsidTr="00A115C5">
              <w:trPr>
                <w:trHeight w:val="45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Połączenie ulic Toruńskiej i Szymborskiej                                                ( w tym przebudowa ul. Długiej)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18 000 000,00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13 000 000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4 300 000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18 000 000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ul. Magazynowa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8 125 000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6 125 000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1 200 000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8 125 000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lastRenderedPageBreak/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67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Invest in Bit CITY 2 Promocja potencjału gospodarczego oraz promocja atrakcyjności inwestycyjnej miast prezydenckich województwa Kujawsko-Pomorskiego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73 120,00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11 128,00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58 310,00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3 682,00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61 992,00</w:t>
                  </w:r>
                </w:p>
              </w:tc>
            </w:tr>
            <w:tr w:rsidR="00A115C5" w:rsidRPr="00A115C5" w:rsidTr="00A115C5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1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2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Operacyjny Infrastruktura i Środowisko 2014-20120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20 950 000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4 802 500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10 000 000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7 000 000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21 802 500</w:t>
                  </w:r>
                </w:p>
              </w:tc>
            </w:tr>
            <w:tr w:rsidR="00A115C5" w:rsidRPr="00A115C5" w:rsidTr="00A115C5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Poprawa jakości środowiska Miasta Inowrocławia poprzez rozwój terenów zielonych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2 950 000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2 950 000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2 950 000</w:t>
                  </w:r>
                </w:p>
              </w:tc>
            </w:tr>
            <w:tr w:rsidR="00A115C5" w:rsidRPr="00A115C5" w:rsidTr="00A115C5">
              <w:trPr>
                <w:trHeight w:val="24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4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Gospodarka wodno-ściekowa w Inowrocławiu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18 000 000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1 000 000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10 000 000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7 000 000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18 000 000</w:t>
                  </w:r>
                </w:p>
              </w:tc>
            </w:tr>
            <w:tr w:rsidR="00A115C5" w:rsidRPr="00A115C5" w:rsidTr="00A115C5">
              <w:trPr>
                <w:trHeight w:val="24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7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Termomodernizacja Środowiskowego Domu Samopomocy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402 500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402 500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402 500</w:t>
                  </w:r>
                </w:p>
              </w:tc>
            </w:tr>
            <w:tr w:rsidR="00A115C5" w:rsidRPr="00A115C5" w:rsidTr="00A115C5">
              <w:trPr>
                <w:trHeight w:val="2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40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Adaptacja poddasza budynku UM ul. Roosevelta 33-35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450 000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450 000</w:t>
                  </w:r>
                </w:p>
              </w:tc>
            </w:tr>
            <w:tr w:rsidR="00A115C5" w:rsidRPr="00A115C5" w:rsidTr="00A115C5">
              <w:trPr>
                <w:trHeight w:val="2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4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49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b) programy, projekty lub zadania związane z umowami partnerstwa publiczno-prywatnego (razem)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majątkowe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1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2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6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c) programy, projekty lub zadania pozostałe (inne niż wymienione w lit. a i b) (razem)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34 487 440,76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6 962 989,50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5 707 383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2 973 000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1 650 000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7 625 000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17 955 383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majątkowe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34 487 440,76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6 962 989,50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5 707 383,00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2 973 000,00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1 650 000,00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7 625 000,00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17 955 383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6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lastRenderedPageBreak/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1                                                                                  Program Rozwoju Gminnej i Powiatowej Infrastruktury Drogowej na lata 2016-2020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</w:tr>
            <w:tr w:rsidR="00A115C5" w:rsidRPr="00A115C5" w:rsidTr="00A115C5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66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program 2   ogółem                                                                               Fundusz dopłat w tworzeniu lokali socjalnych i mieszkań chronionych dla planowanej realizacji inwestycji.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8 900 000,00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800 000,0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4 500 000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5 100 000,0</w:t>
                  </w:r>
                </w:p>
              </w:tc>
            </w:tr>
            <w:tr w:rsidR="00A115C5" w:rsidRPr="00A115C5" w:rsidTr="00A115C5">
              <w:trPr>
                <w:trHeight w:val="2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budynku mieszkalnego nr 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1 400 000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600 000</w:t>
                  </w:r>
                </w:p>
              </w:tc>
            </w:tr>
            <w:tr w:rsidR="00A115C5" w:rsidRPr="00A115C5" w:rsidTr="00A115C5">
              <w:trPr>
                <w:trHeight w:val="2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9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budynku socjalnego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7 500 000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4 500 000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4 500 000</w:t>
                  </w:r>
                </w:p>
              </w:tc>
            </w:tr>
            <w:tr w:rsidR="00A115C5" w:rsidRPr="00A115C5" w:rsidTr="00A115C5">
              <w:trPr>
                <w:trHeight w:val="2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 xml:space="preserve">program 4 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25 587 440,76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6 162 989,50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5 107 383,00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2 973 000,00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1 650 000,00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3 125 000,00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12 855 383,00</w:t>
                  </w:r>
                </w:p>
              </w:tc>
            </w:tr>
            <w:tr w:rsidR="00A115C5" w:rsidRPr="00A115C5" w:rsidTr="00A115C5">
              <w:trPr>
                <w:trHeight w:val="22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10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dróg tymczasowych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2 990 501,21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549 699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250 000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1 750 000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Oświetlenie terenów miasta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1 513 974,48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246 028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Montaż kamer na terenie miasta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559 554,54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62 000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13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parkingów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2 185 071,20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81 946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1 700 000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14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Ścieżki rowerowe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1 448 730,35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135 471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175 000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875 000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15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Modernizacja dróg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926 431,00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576 431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16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 tym:  ul. Kasztanowa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576 431,00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576 431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17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chodników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1 584 443,29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384 981,50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700 000,0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18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Dyngusowej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1 068 271,50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283 220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19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Rewitalizacja i adaptacja południowego odcinka średniowiecznych murów obronnych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1 587 264,00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36 000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1 500 000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1 500 000</w:t>
                  </w:r>
                </w:p>
              </w:tc>
            </w:tr>
            <w:tr w:rsidR="00A115C5" w:rsidRPr="00A115C5" w:rsidTr="00A115C5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Tablice informacyjne na przystankach i stacje doładowywania autobusów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113 000,00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113 000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21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Skweru Sybiraków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134 698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134 698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22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zatok postojowych oraz chodnika w ul. Przy Stawku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223 323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223 323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23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instalacji elektrycznej i teletechnicznej budynku UM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506 500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506 500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24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Remont pomieszczeń piwnicznych Ratusza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51 296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51 296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43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lastRenderedPageBreak/>
                    <w:t>25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Łącznik dla pieszych od ul. L. Kruczkowskiego do ul. J.Weyssenhoffa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58 500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58 500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26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ul. S. Batorego i Jana III Sobieskiego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775 500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775 500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27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Miejsca postojowe przy ul. Ks. Bolesława Jaśkowskiego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75 150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75 150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1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28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alejek na Osiedlu Piastowskim I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165 000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165 000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29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Zatoki postojowe ul. Alejnika 17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59 030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59 030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ul. Harcerstwa Polskiego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233 832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233 832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15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43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31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Odcinek sieci wodociagowej i kanalizacji deszczowej w ul. Jesionowej i ul. Trzcińskiego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144 767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72 384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72 383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72 383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32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Doposażenie boisk wielofunkcyjnych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39 000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39 000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33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ul. Długiej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628 528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34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Remont placówek oświatowych i opiekuńczych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3 191 025,19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1 000 000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Wkład własny w zadania z dofinansowaniem Unii Europejskiej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366 050,00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36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Kamiennej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410 000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410 000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410 000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37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ul. Władysława Jagiełły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38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Przebudowa ul. Krzymińskiego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700 000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39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Kościelskiego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ul. Zielna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41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ul. Łubinowa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650 000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650 000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42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Jesionowa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43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Modernizacja budynku UM ul. Sienkiewicza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123 000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123 000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123 000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44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Droga dojazdowa do przedszkola "Kujawskie dzieci"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250 000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45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Szelburg-Zarembiny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46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Lnianej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325 000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325 000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325 000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47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Słonecznikowej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350 000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48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Budowa ul. Kruszańskiej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UM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500 000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33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center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54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lastRenderedPageBreak/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2) umowy, których realizacja w roku budżetowym i w latach następnych jest niezbędna dla zapewnienia ciągłości działania jednostki i których płatności przypadając w okresie dłuższym niż rok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majątkowe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Umowa 1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2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2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3) gwarancje i poręczenia udzielane przez jednostki samorządu terytorialnego (razem)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5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wydatki bieżące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righ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Umowa 1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  <w:tr w:rsidR="00A115C5" w:rsidRPr="00A115C5" w:rsidTr="00A115C5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b/>
                      <w:bCs/>
                      <w:color w:val="000000"/>
                      <w:sz w:val="16"/>
                      <w:szCs w:val="16"/>
                      <w:lang w:val="pl-PL" w:eastAsia="pl-PL"/>
                    </w:rPr>
                    <w:t>Umowa 2 ogółem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C5" w:rsidRPr="00A115C5" w:rsidRDefault="00A115C5" w:rsidP="00A115C5">
                  <w:pPr>
                    <w:jc w:val="left"/>
                    <w:rPr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A115C5">
                    <w:rPr>
                      <w:color w:val="00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</w:tbl>
          <w:p w:rsidR="00B7744D" w:rsidRPr="00F51A50" w:rsidRDefault="00B7744D" w:rsidP="00CC378B"/>
        </w:tc>
        <w:tc>
          <w:tcPr>
            <w:tcW w:w="7071" w:type="dxa"/>
          </w:tcPr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A600CF" w:rsidRPr="00D44578" w:rsidRDefault="00A600CF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DO </w:t>
      </w:r>
      <w:r w:rsidRPr="00503CDE">
        <w:rPr>
          <w:b/>
          <w:caps/>
          <w:sz w:val="28"/>
          <w:szCs w:val="28"/>
          <w:lang w:val="pl-PL"/>
        </w:rPr>
        <w:t>Uchwał</w:t>
      </w:r>
      <w:r>
        <w:rPr>
          <w:b/>
          <w:caps/>
          <w:sz w:val="28"/>
          <w:szCs w:val="28"/>
          <w:lang w:val="pl-PL"/>
        </w:rPr>
        <w:t xml:space="preserve">Y Nr </w:t>
      </w:r>
      <w:r w:rsidR="00CD52F3">
        <w:rPr>
          <w:b/>
          <w:caps/>
          <w:sz w:val="28"/>
          <w:szCs w:val="28"/>
          <w:lang w:val="pl-PL"/>
        </w:rPr>
        <w:t>XXV/261/2016</w:t>
      </w:r>
    </w:p>
    <w:p w:rsidR="009E09E1" w:rsidRPr="00F63789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5B1701" w:rsidRDefault="009E09E1" w:rsidP="00AF51D8">
      <w:pPr>
        <w:jc w:val="center"/>
        <w:rPr>
          <w:lang w:val="pl-PL"/>
        </w:rPr>
      </w:pPr>
      <w:r w:rsidRPr="005B1701">
        <w:rPr>
          <w:lang w:val="pl-PL"/>
        </w:rPr>
        <w:t xml:space="preserve">z dnia </w:t>
      </w:r>
      <w:r w:rsidR="00B41B7F">
        <w:rPr>
          <w:lang w:val="pl-PL"/>
        </w:rPr>
        <w:t>19 grudnia 2016 r.</w:t>
      </w:r>
    </w:p>
    <w:p w:rsidR="009E09E1" w:rsidRDefault="009E09E1" w:rsidP="00F44878">
      <w:pPr>
        <w:keepLines/>
        <w:rPr>
          <w:caps/>
          <w:sz w:val="28"/>
          <w:szCs w:val="28"/>
          <w:lang w:val="pl-PL"/>
        </w:rPr>
      </w:pPr>
    </w:p>
    <w:p w:rsidR="009E09E1" w:rsidRDefault="009E09E1" w:rsidP="00F44878">
      <w:pPr>
        <w:keepLines/>
        <w:rPr>
          <w:lang w:val="pl-PL"/>
        </w:rPr>
      </w:pPr>
      <w:r w:rsidRPr="00503CDE">
        <w:rPr>
          <w:lang w:val="pl-PL"/>
        </w:rPr>
        <w:t>Dług publiczny Miasta Inowrocławia wg stanu na dzień 30 września 201</w:t>
      </w:r>
      <w:r w:rsidR="000657D5">
        <w:rPr>
          <w:lang w:val="pl-PL"/>
        </w:rPr>
        <w:t>6</w:t>
      </w:r>
      <w:r w:rsidRPr="00503CDE">
        <w:rPr>
          <w:lang w:val="pl-PL"/>
        </w:rPr>
        <w:t xml:space="preserve"> r. wynosi</w:t>
      </w:r>
      <w:r>
        <w:rPr>
          <w:lang w:val="pl-PL"/>
        </w:rPr>
        <w:t>ł</w:t>
      </w:r>
      <w:r w:rsidRPr="00503CDE">
        <w:rPr>
          <w:lang w:val="pl-PL"/>
        </w:rPr>
        <w:t xml:space="preserve"> </w:t>
      </w:r>
      <w:r w:rsidR="000A7ADF">
        <w:rPr>
          <w:lang w:val="pl-PL"/>
        </w:rPr>
        <w:t>93 653 852,48</w:t>
      </w:r>
      <w:r w:rsidR="000657D5">
        <w:rPr>
          <w:lang w:val="pl-PL"/>
        </w:rPr>
        <w:t xml:space="preserve"> </w:t>
      </w:r>
      <w:r w:rsidRPr="00503CDE">
        <w:rPr>
          <w:lang w:val="pl-PL"/>
        </w:rPr>
        <w:t>zł</w:t>
      </w:r>
      <w:r w:rsidR="00BF55A2">
        <w:rPr>
          <w:lang w:val="pl-PL"/>
        </w:rPr>
        <w:t xml:space="preserve"> i </w:t>
      </w:r>
      <w:r w:rsidRPr="00503CDE">
        <w:rPr>
          <w:lang w:val="pl-PL"/>
        </w:rPr>
        <w:t>w relacji do planowanych dochodów</w:t>
      </w:r>
      <w:r>
        <w:rPr>
          <w:lang w:val="pl-PL"/>
        </w:rPr>
        <w:t xml:space="preserve"> na 201</w:t>
      </w:r>
      <w:r w:rsidR="000657D5">
        <w:rPr>
          <w:lang w:val="pl-PL"/>
        </w:rPr>
        <w:t>6</w:t>
      </w:r>
      <w:r>
        <w:rPr>
          <w:lang w:val="pl-PL"/>
        </w:rPr>
        <w:t xml:space="preserve"> r.</w:t>
      </w:r>
      <w:r w:rsidRPr="00503CDE">
        <w:rPr>
          <w:lang w:val="pl-PL"/>
        </w:rPr>
        <w:t xml:space="preserve"> stanowi</w:t>
      </w:r>
      <w:r>
        <w:rPr>
          <w:lang w:val="pl-PL"/>
        </w:rPr>
        <w:t>ł</w:t>
      </w:r>
      <w:r w:rsidRPr="00503CDE">
        <w:rPr>
          <w:lang w:val="pl-PL"/>
        </w:rPr>
        <w:t xml:space="preserve"> </w:t>
      </w:r>
      <w:r w:rsidR="000A7ADF">
        <w:rPr>
          <w:lang w:val="pl-PL"/>
        </w:rPr>
        <w:t xml:space="preserve">34,73 </w:t>
      </w:r>
      <w:r w:rsidRPr="00503CDE">
        <w:rPr>
          <w:lang w:val="pl-PL"/>
        </w:rPr>
        <w:t>%</w:t>
      </w:r>
      <w:r>
        <w:rPr>
          <w:lang w:val="pl-PL"/>
        </w:rPr>
        <w:t>. Sp</w:t>
      </w:r>
      <w:r w:rsidR="00BF55A2">
        <w:rPr>
          <w:lang w:val="pl-PL"/>
        </w:rPr>
        <w:t>ośród ogólnej kwoty długu kwota</w:t>
      </w:r>
      <w:r>
        <w:rPr>
          <w:lang w:val="pl-PL"/>
        </w:rPr>
        <w:t xml:space="preserve"> </w:t>
      </w:r>
      <w:r w:rsidR="00EE236E">
        <w:rPr>
          <w:lang w:val="pl-PL"/>
        </w:rPr>
        <w:t xml:space="preserve">14 265 646,38 </w:t>
      </w:r>
      <w:r>
        <w:rPr>
          <w:lang w:val="pl-PL"/>
        </w:rPr>
        <w:t>zł dotyczyła zadań posiadających do</w:t>
      </w:r>
      <w:r w:rsidR="00A0710F">
        <w:rPr>
          <w:lang w:val="pl-PL"/>
        </w:rPr>
        <w:t>finansowanie Unii Europejskiej.</w:t>
      </w:r>
    </w:p>
    <w:p w:rsidR="009E09E1" w:rsidRDefault="009E09E1" w:rsidP="00F44878">
      <w:pPr>
        <w:keepLines/>
        <w:rPr>
          <w:lang w:val="pl-PL"/>
        </w:rPr>
      </w:pPr>
    </w:p>
    <w:p w:rsidR="009E09E1" w:rsidRDefault="009E09E1" w:rsidP="00F44878">
      <w:pPr>
        <w:keepLines/>
        <w:rPr>
          <w:lang w:val="pl-PL"/>
        </w:rPr>
      </w:pPr>
      <w:r>
        <w:rPr>
          <w:lang w:val="pl-PL"/>
        </w:rPr>
        <w:t>Projekt budżetu na 201</w:t>
      </w:r>
      <w:r w:rsidR="000657D5">
        <w:rPr>
          <w:lang w:val="pl-PL"/>
        </w:rPr>
        <w:t>7</w:t>
      </w:r>
      <w:r>
        <w:rPr>
          <w:lang w:val="pl-PL"/>
        </w:rPr>
        <w:t xml:space="preserve"> r. zakłada planowa</w:t>
      </w:r>
      <w:r w:rsidR="000657D5">
        <w:rPr>
          <w:lang w:val="pl-PL"/>
        </w:rPr>
        <w:t>ną spłatę kapitału w wysokości 6 500 000</w:t>
      </w:r>
      <w:r w:rsidR="001C7BF7">
        <w:rPr>
          <w:lang w:val="pl-PL"/>
        </w:rPr>
        <w:t xml:space="preserve"> zł oraz zaciągnięcie nowego kredytu w kwocie </w:t>
      </w:r>
      <w:r w:rsidR="00BF55A2">
        <w:rPr>
          <w:lang w:val="pl-PL"/>
        </w:rPr>
        <w:t>7,7 mln zł.</w:t>
      </w:r>
      <w:r>
        <w:rPr>
          <w:lang w:val="pl-PL"/>
        </w:rPr>
        <w:t xml:space="preserve"> Zatem przewidywana na 31 grudnia 201</w:t>
      </w:r>
      <w:r w:rsidR="000657D5">
        <w:rPr>
          <w:lang w:val="pl-PL"/>
        </w:rPr>
        <w:t>7</w:t>
      </w:r>
      <w:r>
        <w:rPr>
          <w:lang w:val="pl-PL"/>
        </w:rPr>
        <w:t xml:space="preserve"> r. kwota długu wyniesie </w:t>
      </w:r>
      <w:r w:rsidR="00A115C5">
        <w:rPr>
          <w:lang w:val="pl-PL"/>
        </w:rPr>
        <w:t>85 487 936,63</w:t>
      </w:r>
      <w:r w:rsidR="00BF55A2">
        <w:rPr>
          <w:lang w:val="pl-PL"/>
        </w:rPr>
        <w:t xml:space="preserve"> zł</w:t>
      </w:r>
      <w:r>
        <w:rPr>
          <w:lang w:val="pl-PL"/>
        </w:rPr>
        <w:t xml:space="preserve"> i stanowić będzie </w:t>
      </w:r>
      <w:r w:rsidR="001C7BF7">
        <w:rPr>
          <w:lang w:val="pl-PL"/>
        </w:rPr>
        <w:t>31,78</w:t>
      </w:r>
      <w:r>
        <w:rPr>
          <w:lang w:val="pl-PL"/>
        </w:rPr>
        <w:t xml:space="preserve"> %</w:t>
      </w:r>
      <w:r w:rsidR="00A0710F">
        <w:rPr>
          <w:lang w:val="pl-PL"/>
        </w:rPr>
        <w:t xml:space="preserve"> </w:t>
      </w:r>
      <w:r w:rsidR="001C7BF7">
        <w:rPr>
          <w:lang w:val="pl-PL"/>
        </w:rPr>
        <w:t xml:space="preserve">planowanych </w:t>
      </w:r>
      <w:r w:rsidR="00A0710F">
        <w:rPr>
          <w:lang w:val="pl-PL"/>
        </w:rPr>
        <w:t>dochodów</w:t>
      </w:r>
      <w:r>
        <w:rPr>
          <w:lang w:val="pl-PL"/>
        </w:rPr>
        <w:t>. W 201</w:t>
      </w:r>
      <w:r w:rsidR="001C7BF7">
        <w:rPr>
          <w:lang w:val="pl-PL"/>
        </w:rPr>
        <w:t>7</w:t>
      </w:r>
      <w:r>
        <w:rPr>
          <w:lang w:val="pl-PL"/>
        </w:rPr>
        <w:t xml:space="preserve"> r. koszty obsługi długu  stanowić będą kwotę </w:t>
      </w:r>
      <w:r w:rsidR="001C7BF7">
        <w:rPr>
          <w:lang w:val="pl-PL"/>
        </w:rPr>
        <w:t>10 500 000</w:t>
      </w:r>
      <w:r>
        <w:rPr>
          <w:lang w:val="pl-PL"/>
        </w:rPr>
        <w:t xml:space="preserve"> zł</w:t>
      </w:r>
      <w:r w:rsidR="0009691A">
        <w:rPr>
          <w:lang w:val="pl-PL"/>
        </w:rPr>
        <w:t>.</w:t>
      </w:r>
      <w:r w:rsidR="00BF55A2">
        <w:rPr>
          <w:lang w:val="pl-PL"/>
        </w:rPr>
        <w:t xml:space="preserve"> Kwota ta obejmuje</w:t>
      </w:r>
      <w:r>
        <w:rPr>
          <w:lang w:val="pl-PL"/>
        </w:rPr>
        <w:t xml:space="preserve"> spłatę kapitału oraz odsetki w wysokości 4</w:t>
      </w:r>
      <w:r w:rsidR="00A0710F">
        <w:rPr>
          <w:lang w:val="pl-PL"/>
        </w:rPr>
        <w:t>,0</w:t>
      </w:r>
      <w:r>
        <w:rPr>
          <w:lang w:val="pl-PL"/>
        </w:rPr>
        <w:t xml:space="preserve"> mln zł, co stanowi 3,</w:t>
      </w:r>
      <w:r w:rsidR="00EE236E">
        <w:rPr>
          <w:lang w:val="pl-PL"/>
        </w:rPr>
        <w:t>7</w:t>
      </w:r>
      <w:r w:rsidR="00A0710F">
        <w:rPr>
          <w:lang w:val="pl-PL"/>
        </w:rPr>
        <w:t>6</w:t>
      </w:r>
      <w:r>
        <w:rPr>
          <w:lang w:val="pl-PL"/>
        </w:rPr>
        <w:t xml:space="preserve">%. </w:t>
      </w:r>
      <w:r w:rsidR="0009691A">
        <w:rPr>
          <w:lang w:val="pl-PL"/>
        </w:rPr>
        <w:t xml:space="preserve">W </w:t>
      </w:r>
      <w:r>
        <w:rPr>
          <w:lang w:val="pl-PL"/>
        </w:rPr>
        <w:t>ww. kwo</w:t>
      </w:r>
      <w:r w:rsidR="0009691A">
        <w:rPr>
          <w:lang w:val="pl-PL"/>
        </w:rPr>
        <w:t>cie</w:t>
      </w:r>
      <w:r>
        <w:rPr>
          <w:lang w:val="pl-PL"/>
        </w:rPr>
        <w:t xml:space="preserve"> limitem nie są objęte: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6"/>
        <w:gridCol w:w="6733"/>
        <w:gridCol w:w="2043"/>
      </w:tblGrid>
      <w:tr w:rsidR="009E09E1" w:rsidRPr="009F10FD" w:rsidTr="00A0710F">
        <w:tc>
          <w:tcPr>
            <w:tcW w:w="296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-</w:t>
            </w:r>
          </w:p>
        </w:tc>
        <w:tc>
          <w:tcPr>
            <w:tcW w:w="6900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spłaty kapitału dotyczącego wkładu własnego w zadaniach posiadających dofinansowanie Unii Europejskiej (art. 243 ust. 3)</w:t>
            </w:r>
          </w:p>
        </w:tc>
        <w:tc>
          <w:tcPr>
            <w:tcW w:w="2062" w:type="dxa"/>
          </w:tcPr>
          <w:p w:rsidR="009E09E1" w:rsidRPr="00A74E59" w:rsidRDefault="009E09E1" w:rsidP="00A74E59">
            <w:pPr>
              <w:keepLines/>
              <w:jc w:val="right"/>
              <w:rPr>
                <w:lang w:val="pl-PL"/>
              </w:rPr>
            </w:pPr>
          </w:p>
          <w:p w:rsidR="009E09E1" w:rsidRPr="00A74E59" w:rsidRDefault="00A115C5" w:rsidP="00A74E59">
            <w:pPr>
              <w:keepLines/>
              <w:jc w:val="right"/>
              <w:rPr>
                <w:lang w:val="pl-PL"/>
              </w:rPr>
            </w:pPr>
            <w:r>
              <w:rPr>
                <w:lang w:val="pl-PL"/>
              </w:rPr>
              <w:t>2 264 751,4</w:t>
            </w:r>
            <w:r w:rsidR="001C7BF7">
              <w:rPr>
                <w:lang w:val="pl-PL"/>
              </w:rPr>
              <w:t>8</w:t>
            </w:r>
            <w:r w:rsidR="009E09E1" w:rsidRPr="00A74E59">
              <w:rPr>
                <w:lang w:val="pl-PL"/>
              </w:rPr>
              <w:t xml:space="preserve"> zł</w:t>
            </w:r>
          </w:p>
        </w:tc>
      </w:tr>
      <w:tr w:rsidR="009E09E1" w:rsidRPr="009F10FD" w:rsidTr="00A0710F">
        <w:tc>
          <w:tcPr>
            <w:tcW w:w="296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-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9E09E1" w:rsidRPr="00A74E59" w:rsidRDefault="00A0710F" w:rsidP="00A74E59">
            <w:pPr>
              <w:keepLines/>
              <w:rPr>
                <w:lang w:val="pl-PL"/>
              </w:rPr>
            </w:pPr>
            <w:r>
              <w:rPr>
                <w:lang w:val="pl-PL"/>
              </w:rPr>
              <w:t>odsetki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9E1" w:rsidRPr="00A74E59" w:rsidRDefault="00A115C5" w:rsidP="00A74E59">
            <w:pPr>
              <w:keepLines/>
              <w:jc w:val="right"/>
              <w:rPr>
                <w:lang w:val="pl-PL"/>
              </w:rPr>
            </w:pPr>
            <w:r>
              <w:rPr>
                <w:lang w:val="pl-PL"/>
              </w:rPr>
              <w:t>688 226,82</w:t>
            </w:r>
            <w:r w:rsidR="009E09E1" w:rsidRPr="00A74E59">
              <w:rPr>
                <w:lang w:val="pl-PL"/>
              </w:rPr>
              <w:t xml:space="preserve"> zł</w:t>
            </w:r>
          </w:p>
        </w:tc>
      </w:tr>
      <w:tr w:rsidR="009E09E1" w:rsidRPr="009F10FD" w:rsidTr="00A0710F">
        <w:tc>
          <w:tcPr>
            <w:tcW w:w="296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</w:p>
        </w:tc>
        <w:tc>
          <w:tcPr>
            <w:tcW w:w="6900" w:type="dxa"/>
            <w:tcBorders>
              <w:top w:val="single" w:sz="4" w:space="0" w:color="auto"/>
            </w:tcBorders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Razem: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E09E1" w:rsidRPr="00A74E59" w:rsidRDefault="00A115C5" w:rsidP="00A74E59">
            <w:pPr>
              <w:keepLines/>
              <w:jc w:val="right"/>
              <w:rPr>
                <w:lang w:val="pl-PL"/>
              </w:rPr>
            </w:pPr>
            <w:r>
              <w:rPr>
                <w:lang w:val="pl-PL"/>
              </w:rPr>
              <w:t>2 952 978,30</w:t>
            </w:r>
            <w:r w:rsidR="00A0710F">
              <w:rPr>
                <w:lang w:val="pl-PL"/>
              </w:rPr>
              <w:t xml:space="preserve"> zł</w:t>
            </w:r>
          </w:p>
        </w:tc>
      </w:tr>
    </w:tbl>
    <w:p w:rsidR="009E09E1" w:rsidRDefault="009E09E1" w:rsidP="00AF51D8">
      <w:pPr>
        <w:keepLines/>
        <w:rPr>
          <w:lang w:val="pl-PL"/>
        </w:rPr>
      </w:pPr>
    </w:p>
    <w:p w:rsidR="009E09E1" w:rsidRDefault="009E09E1" w:rsidP="00AF51D8">
      <w:pPr>
        <w:keepLines/>
        <w:rPr>
          <w:lang w:val="pl-PL"/>
        </w:rPr>
      </w:pPr>
      <w:r>
        <w:rPr>
          <w:lang w:val="pl-PL"/>
        </w:rPr>
        <w:t>Zatem limitowane koszty obsługi zadłużenia w 201</w:t>
      </w:r>
      <w:r w:rsidR="001C7BF7">
        <w:rPr>
          <w:lang w:val="pl-PL"/>
        </w:rPr>
        <w:t>7</w:t>
      </w:r>
      <w:r>
        <w:rPr>
          <w:lang w:val="pl-PL"/>
        </w:rPr>
        <w:t xml:space="preserve"> r. wyniosą </w:t>
      </w:r>
      <w:r w:rsidR="00A115C5">
        <w:rPr>
          <w:lang w:val="pl-PL"/>
        </w:rPr>
        <w:t>7 547 021,70</w:t>
      </w:r>
      <w:r>
        <w:rPr>
          <w:lang w:val="pl-PL"/>
        </w:rPr>
        <w:t xml:space="preserve"> zł, co stanowi 2,</w:t>
      </w:r>
      <w:r w:rsidR="00A115C5">
        <w:rPr>
          <w:lang w:val="pl-PL"/>
        </w:rPr>
        <w:t>70</w:t>
      </w:r>
      <w:r w:rsidR="00A600CF">
        <w:rPr>
          <w:lang w:val="pl-PL"/>
        </w:rPr>
        <w:t xml:space="preserve"> </w:t>
      </w:r>
      <w:r>
        <w:rPr>
          <w:lang w:val="pl-PL"/>
        </w:rPr>
        <w:t>% dochodów.</w:t>
      </w:r>
    </w:p>
    <w:p w:rsidR="009E09E1" w:rsidRDefault="009E09E1" w:rsidP="00AF51D8">
      <w:pPr>
        <w:keepLines/>
        <w:rPr>
          <w:lang w:val="pl-PL"/>
        </w:rPr>
      </w:pPr>
      <w:r>
        <w:rPr>
          <w:lang w:val="pl-PL"/>
        </w:rPr>
        <w:t>Dopuszczalny wskaźnik obsługi długu limitowanego w 201</w:t>
      </w:r>
      <w:r w:rsidR="001C7BF7">
        <w:rPr>
          <w:lang w:val="pl-PL"/>
        </w:rPr>
        <w:t>7</w:t>
      </w:r>
      <w:r>
        <w:rPr>
          <w:lang w:val="pl-PL"/>
        </w:rPr>
        <w:t xml:space="preserve"> r. wynosi </w:t>
      </w:r>
      <w:r w:rsidR="001C7BF7">
        <w:rPr>
          <w:lang w:val="pl-PL"/>
        </w:rPr>
        <w:t>7,10</w:t>
      </w:r>
      <w:r w:rsidR="00A600CF">
        <w:rPr>
          <w:lang w:val="pl-PL"/>
        </w:rPr>
        <w:t xml:space="preserve"> </w:t>
      </w:r>
      <w:r>
        <w:rPr>
          <w:lang w:val="pl-PL"/>
        </w:rPr>
        <w:t>%.</w:t>
      </w:r>
    </w:p>
    <w:p w:rsidR="009E09E1" w:rsidRDefault="009E09E1" w:rsidP="00AF51D8">
      <w:pPr>
        <w:keepLines/>
        <w:rPr>
          <w:lang w:val="pl-PL"/>
        </w:rPr>
      </w:pPr>
    </w:p>
    <w:p w:rsidR="009E09E1" w:rsidRDefault="009E09E1" w:rsidP="00AF51D8">
      <w:pPr>
        <w:keepLines/>
        <w:rPr>
          <w:lang w:val="pl-PL"/>
        </w:rPr>
      </w:pPr>
      <w:r>
        <w:rPr>
          <w:lang w:val="pl-PL"/>
        </w:rPr>
        <w:t>Powyższe wskazuje, że projekt budżetu na 201</w:t>
      </w:r>
      <w:r w:rsidR="001C7BF7">
        <w:rPr>
          <w:lang w:val="pl-PL"/>
        </w:rPr>
        <w:t>7</w:t>
      </w:r>
      <w:r>
        <w:rPr>
          <w:lang w:val="pl-PL"/>
        </w:rPr>
        <w:t xml:space="preserve"> r. spełnia normę wynikającą z art. 243 ustawy o finansach publicznych. Jest ona również zachowana w następ</w:t>
      </w:r>
      <w:r w:rsidR="001C7BF7">
        <w:rPr>
          <w:lang w:val="pl-PL"/>
        </w:rPr>
        <w:t>nych</w:t>
      </w:r>
      <w:r>
        <w:rPr>
          <w:lang w:val="pl-PL"/>
        </w:rPr>
        <w:t xml:space="preserve"> latach objętych prognozą.</w:t>
      </w:r>
    </w:p>
    <w:p w:rsidR="009E09E1" w:rsidRDefault="009E09E1" w:rsidP="00DC02B0">
      <w:pPr>
        <w:keepLines/>
        <w:rPr>
          <w:lang w:val="pl-PL"/>
        </w:rPr>
      </w:pPr>
    </w:p>
    <w:p w:rsidR="009E09E1" w:rsidRDefault="009E09E1" w:rsidP="00DC02B0">
      <w:pPr>
        <w:keepLines/>
        <w:rPr>
          <w:lang w:val="pl-PL"/>
        </w:rPr>
      </w:pPr>
      <w:r w:rsidRPr="00503CDE">
        <w:rPr>
          <w:lang w:val="pl-PL"/>
        </w:rPr>
        <w:t>Zgodnie z art. 230 ust. 1 ustawy z dnia 27 sierpnia 20</w:t>
      </w:r>
      <w:r>
        <w:rPr>
          <w:lang w:val="pl-PL"/>
        </w:rPr>
        <w:t>09</w:t>
      </w:r>
      <w:r w:rsidRPr="00503CDE">
        <w:rPr>
          <w:lang w:val="pl-PL"/>
        </w:rPr>
        <w:t xml:space="preserve"> r. o finan</w:t>
      </w:r>
      <w:r>
        <w:rPr>
          <w:lang w:val="pl-PL"/>
        </w:rPr>
        <w:t>sach publicznych, zwanej dalej „</w:t>
      </w:r>
      <w:r w:rsidR="002937D1">
        <w:rPr>
          <w:lang w:val="pl-PL"/>
        </w:rPr>
        <w:t>ustawą”</w:t>
      </w:r>
      <w:r w:rsidRPr="00503CDE">
        <w:rPr>
          <w:lang w:val="pl-PL"/>
        </w:rPr>
        <w:t>, inicjatywa w sprawie sporządzenia projektu uchwały w sprawie wieloletniej prognozy finansowej i jej zmiany należy wyłącznie do zarządu jednostki samorządu terytorialnego. </w:t>
      </w:r>
    </w:p>
    <w:p w:rsidR="009E09E1" w:rsidRPr="00503CDE" w:rsidRDefault="009E09E1" w:rsidP="00AF51D8">
      <w:pPr>
        <w:keepLines/>
        <w:ind w:firstLine="850"/>
        <w:rPr>
          <w:lang w:val="pl-PL"/>
        </w:rPr>
      </w:pPr>
    </w:p>
    <w:p w:rsidR="009E09E1" w:rsidRDefault="009E09E1" w:rsidP="0024420E">
      <w:pPr>
        <w:keepLines/>
        <w:rPr>
          <w:lang w:val="pl-PL"/>
        </w:rPr>
      </w:pPr>
      <w:r w:rsidRPr="00503CDE">
        <w:rPr>
          <w:lang w:val="pl-PL"/>
        </w:rPr>
        <w:t>Uchwałę w sprawie wieloletniej prognozy finansowej organ stanowiący jednostki samorządu terytorialnego podejmuje nie później niż uchwałę budżetową (art. 230 ust.6 ustawy). </w:t>
      </w:r>
    </w:p>
    <w:p w:rsidR="009E09E1" w:rsidRPr="00503CDE" w:rsidRDefault="009E09E1" w:rsidP="00AF51D8">
      <w:pPr>
        <w:keepLines/>
        <w:ind w:firstLine="850"/>
        <w:rPr>
          <w:lang w:val="pl-PL"/>
        </w:rPr>
      </w:pPr>
    </w:p>
    <w:p w:rsidR="009E09E1" w:rsidRDefault="009E09E1" w:rsidP="0024420E">
      <w:pPr>
        <w:keepLines/>
        <w:rPr>
          <w:lang w:val="pl-PL"/>
        </w:rPr>
      </w:pPr>
      <w:r w:rsidRPr="00503CDE">
        <w:rPr>
          <w:lang w:val="pl-PL"/>
        </w:rPr>
        <w:t>Wieloletnia prognoza finansowa</w:t>
      </w:r>
      <w:r>
        <w:rPr>
          <w:lang w:val="pl-PL"/>
        </w:rPr>
        <w:t xml:space="preserve"> – </w:t>
      </w:r>
      <w:r w:rsidRPr="00503CDE">
        <w:rPr>
          <w:lang w:val="pl-PL"/>
        </w:rPr>
        <w:t xml:space="preserve">stosownie do art. 226 ust. 1 ustawy </w:t>
      </w:r>
      <w:r>
        <w:rPr>
          <w:lang w:val="pl-PL"/>
        </w:rPr>
        <w:t xml:space="preserve">– </w:t>
      </w:r>
      <w:r w:rsidRPr="00503CDE">
        <w:rPr>
          <w:lang w:val="pl-PL"/>
        </w:rPr>
        <w:t>powinna być realistyczna i określać dla każdego roku objętego prognozą co najmniej: </w:t>
      </w:r>
    </w:p>
    <w:p w:rsidR="002958FD" w:rsidRPr="002958FD" w:rsidRDefault="002958FD" w:rsidP="002958FD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671A22">
        <w:rPr>
          <w:rFonts w:eastAsia="Calibri" w:cs="A"/>
          <w:szCs w:val="18"/>
          <w:lang w:val="pl-PL" w:eastAsia="pl-PL"/>
        </w:rPr>
        <w:t>1)</w:t>
      </w:r>
      <w:r w:rsidRPr="00671A22">
        <w:rPr>
          <w:rFonts w:eastAsia="Calibri" w:cs="A"/>
          <w:szCs w:val="18"/>
          <w:lang w:val="pl-PL" w:eastAsia="pl-PL"/>
        </w:rPr>
        <w:tab/>
      </w:r>
      <w:r w:rsidRPr="002958FD">
        <w:rPr>
          <w:rFonts w:eastAsia="Calibri"/>
          <w:lang w:val="pl-PL" w:eastAsia="pl-PL"/>
        </w:rPr>
        <w:t>dochody bieżące oraz wydatki bieżące budżetu jednostki samorządu terytorialnego, w tym na obsługę długu, gwarancje i poręczenia;</w:t>
      </w:r>
    </w:p>
    <w:p w:rsidR="002958FD" w:rsidRPr="002958FD" w:rsidRDefault="002958FD" w:rsidP="002958FD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t>2)</w:t>
      </w:r>
      <w:r w:rsidRPr="002958FD">
        <w:rPr>
          <w:rFonts w:eastAsia="Calibri"/>
          <w:lang w:val="pl-PL" w:eastAsia="pl-PL"/>
        </w:rPr>
        <w:tab/>
        <w:t>dochody majątkowe, w tym dochody ze sprzedaży majątku, oraz wydatki majątkowe budżetu jednostki samorządu terytorialnego;</w:t>
      </w:r>
    </w:p>
    <w:p w:rsidR="002958FD" w:rsidRPr="002958FD" w:rsidRDefault="002958FD" w:rsidP="002958FD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t>3)</w:t>
      </w:r>
      <w:r w:rsidRPr="002958FD">
        <w:rPr>
          <w:rFonts w:eastAsia="Calibri"/>
          <w:lang w:val="pl-PL" w:eastAsia="pl-PL"/>
        </w:rPr>
        <w:tab/>
        <w:t>wynik budżetu jednostki samorządu terytorialnego;</w:t>
      </w:r>
    </w:p>
    <w:p w:rsidR="002958FD" w:rsidRPr="002958FD" w:rsidRDefault="002958FD" w:rsidP="002958FD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t>4)</w:t>
      </w:r>
      <w:r w:rsidRPr="002958FD">
        <w:rPr>
          <w:rFonts w:eastAsia="Calibri"/>
          <w:lang w:val="pl-PL" w:eastAsia="pl-PL"/>
        </w:rPr>
        <w:tab/>
        <w:t>przeznaczenie nadwyżki albo sposób sfinansowania deficytu;</w:t>
      </w:r>
    </w:p>
    <w:p w:rsidR="002958FD" w:rsidRPr="002958FD" w:rsidRDefault="002958FD" w:rsidP="002958FD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t>5)</w:t>
      </w:r>
      <w:r w:rsidRPr="002958FD">
        <w:rPr>
          <w:rFonts w:eastAsia="Calibri"/>
          <w:lang w:val="pl-PL" w:eastAsia="pl-PL"/>
        </w:rPr>
        <w:tab/>
        <w:t>przychody i rozchody budżetu jednostki samorządu terytorialnego, z uwzględnieniem długu zaciągniętego oraz planowanego do zaciągnięcia;</w:t>
      </w:r>
    </w:p>
    <w:p w:rsidR="002958FD" w:rsidRPr="00B12424" w:rsidRDefault="002958FD" w:rsidP="00B12424">
      <w:pPr>
        <w:tabs>
          <w:tab w:val="right" w:pos="284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t>6)</w:t>
      </w:r>
      <w:r>
        <w:rPr>
          <w:rFonts w:eastAsia="Calibri"/>
          <w:lang w:val="pl-PL" w:eastAsia="pl-PL"/>
        </w:rPr>
        <w:t xml:space="preserve">  </w:t>
      </w:r>
      <w:r w:rsidRPr="002958FD">
        <w:rPr>
          <w:rFonts w:eastAsia="Calibri"/>
          <w:lang w:val="pl-PL" w:eastAsia="pl-PL"/>
        </w:rPr>
        <w:t xml:space="preserve"> kwotę długu jednostki samorządu terytorial</w:t>
      </w:r>
      <w:r w:rsidR="00B12424">
        <w:rPr>
          <w:rFonts w:eastAsia="Calibri"/>
          <w:lang w:val="pl-PL" w:eastAsia="pl-PL"/>
        </w:rPr>
        <w:t>nego oraz sposób sfinansowania jego spłaty</w:t>
      </w:r>
    </w:p>
    <w:p w:rsidR="002958FD" w:rsidRPr="002958FD" w:rsidRDefault="002958FD" w:rsidP="002958FD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t>7)</w:t>
      </w:r>
      <w:r w:rsidRPr="002958FD">
        <w:rPr>
          <w:rFonts w:eastAsia="Calibri"/>
          <w:lang w:val="pl-PL" w:eastAsia="pl-PL"/>
        </w:rPr>
        <w:tab/>
      </w:r>
      <w:r w:rsidR="00B12424" w:rsidRPr="00B12424">
        <w:rPr>
          <w:rFonts w:eastAsia="Calibri"/>
          <w:lang w:val="pl-PL" w:eastAsia="pl-PL"/>
        </w:rPr>
        <w:t>relacje, o których mowa w art. 242-244, w tym informację o stopniu niezachowania tych relacji w przypadkach, o których mowa w art. 240a ust. 4 i 8 oraz art. 240b;</w:t>
      </w:r>
    </w:p>
    <w:p w:rsidR="00B12424" w:rsidRDefault="002958FD" w:rsidP="00B12424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 w:rsidRPr="002958FD">
        <w:rPr>
          <w:rFonts w:eastAsia="Calibri"/>
          <w:lang w:val="pl-PL" w:eastAsia="pl-PL"/>
        </w:rPr>
        <w:lastRenderedPageBreak/>
        <w:t>8)</w:t>
      </w:r>
      <w:r w:rsidRPr="002958FD">
        <w:rPr>
          <w:rFonts w:eastAsia="Calibri"/>
          <w:lang w:val="pl-PL" w:eastAsia="pl-PL"/>
        </w:rPr>
        <w:tab/>
        <w:t>kwoty wydatków bieżących i majątkowych wynikających z limitów wydatków na planowane i realizowane przedsięw</w:t>
      </w:r>
      <w:r w:rsidR="00B12424">
        <w:rPr>
          <w:rFonts w:eastAsia="Calibri"/>
          <w:lang w:val="pl-PL" w:eastAsia="pl-PL"/>
        </w:rPr>
        <w:t>zięcia, o których mowa w ust. 3;</w:t>
      </w:r>
    </w:p>
    <w:p w:rsidR="002958FD" w:rsidRPr="002958FD" w:rsidRDefault="00B12424" w:rsidP="00B12424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eastAsia="Calibri"/>
          <w:lang w:val="pl-PL" w:eastAsia="pl-PL"/>
        </w:rPr>
      </w:pPr>
      <w:r>
        <w:rPr>
          <w:rFonts w:eastAsia="Calibri"/>
          <w:lang w:val="pl-PL" w:eastAsia="pl-PL"/>
        </w:rPr>
        <w:t>9) objaśnienia przyjętych wartości.</w:t>
      </w:r>
      <w:r w:rsidRPr="002958FD">
        <w:rPr>
          <w:rFonts w:eastAsia="Calibri"/>
          <w:lang w:val="pl-PL" w:eastAsia="pl-PL"/>
        </w:rPr>
        <w:t xml:space="preserve"> </w:t>
      </w:r>
    </w:p>
    <w:p w:rsidR="002958FD" w:rsidRDefault="002958FD" w:rsidP="0024420E">
      <w:pPr>
        <w:keepLines/>
        <w:rPr>
          <w:lang w:val="pl-PL"/>
        </w:rPr>
      </w:pPr>
    </w:p>
    <w:p w:rsidR="00B12424" w:rsidRDefault="009E09E1" w:rsidP="0011784E">
      <w:pPr>
        <w:keepLines/>
        <w:rPr>
          <w:lang w:val="pl-PL"/>
        </w:rPr>
      </w:pPr>
      <w:r w:rsidRPr="00503CDE">
        <w:rPr>
          <w:lang w:val="pl-PL"/>
        </w:rPr>
        <w:t xml:space="preserve">Wieloletnia prognoza finansowa obejmuje </w:t>
      </w:r>
      <w:r>
        <w:rPr>
          <w:lang w:val="pl-PL"/>
        </w:rPr>
        <w:t>–</w:t>
      </w:r>
      <w:r w:rsidRPr="00503CDE">
        <w:rPr>
          <w:lang w:val="pl-PL"/>
        </w:rPr>
        <w:t xml:space="preserve"> zgodnie z art. 227 ust. 1 ustawy </w:t>
      </w:r>
      <w:r>
        <w:rPr>
          <w:lang w:val="pl-PL"/>
        </w:rPr>
        <w:t>–</w:t>
      </w:r>
      <w:r w:rsidRPr="00503CDE">
        <w:rPr>
          <w:lang w:val="pl-PL"/>
        </w:rPr>
        <w:t xml:space="preserve"> okres roku budżetowego oraz co najmniej trzech kolejnych lat. </w:t>
      </w:r>
      <w:r w:rsidR="00B12424" w:rsidRPr="00B12424">
        <w:rPr>
          <w:lang w:val="pl-PL"/>
        </w:rPr>
        <w:t> Prognozę kwoty długu, stanowiącą część wieloletniej prognozy finansowej, sporządza się na okres, na który zaciągnięto oraz planuje się zaciągnąć zobowiązania.</w:t>
      </w:r>
      <w:r w:rsidR="00B12424">
        <w:rPr>
          <w:lang w:val="pl-PL"/>
        </w:rPr>
        <w:t xml:space="preserve"> </w:t>
      </w:r>
    </w:p>
    <w:p w:rsidR="009E09E1" w:rsidRPr="00503CDE" w:rsidRDefault="009E09E1" w:rsidP="0011784E">
      <w:pPr>
        <w:keepLines/>
        <w:rPr>
          <w:lang w:val="pl-PL"/>
        </w:rPr>
      </w:pPr>
      <w:r w:rsidRPr="00503CDE">
        <w:rPr>
          <w:lang w:val="pl-PL"/>
        </w:rPr>
        <w:t>Uchwała w sprawie wieloletniej prognozy finansowej może zawierać upoważnienie dla zarządu jednostki samorządu terytorialnego do zaciągania zobowiązań: </w:t>
      </w:r>
    </w:p>
    <w:p w:rsidR="009E09E1" w:rsidRPr="00503CDE" w:rsidRDefault="009E09E1" w:rsidP="00FF292F">
      <w:pPr>
        <w:rPr>
          <w:lang w:val="pl-PL"/>
        </w:rPr>
      </w:pPr>
      <w:r w:rsidRPr="00503CDE">
        <w:rPr>
          <w:lang w:val="pl-PL"/>
        </w:rPr>
        <w:t>1) związanych z realizacją zamieszczonych w niej przedsięwzięć; </w:t>
      </w:r>
    </w:p>
    <w:p w:rsidR="009E09E1" w:rsidRDefault="009E09E1" w:rsidP="00FF292F">
      <w:pPr>
        <w:rPr>
          <w:lang w:val="pl-PL"/>
        </w:rPr>
      </w:pPr>
      <w:r w:rsidRPr="00503CDE">
        <w:rPr>
          <w:lang w:val="pl-PL"/>
        </w:rPr>
        <w:t>2) z tytułu umów, których realizacja w roku budżetowym i w latach następnych jest niezbędna do zapewnienia ciągłości działania jednostki i z których wynikające płatności wykraczają poza rok budżetowy (art.228 ust. 1 ustawy). </w:t>
      </w:r>
    </w:p>
    <w:p w:rsidR="009E09E1" w:rsidRPr="00503CDE" w:rsidRDefault="009E09E1" w:rsidP="00AF51D8">
      <w:pPr>
        <w:ind w:firstLine="850"/>
        <w:rPr>
          <w:lang w:val="pl-PL"/>
        </w:rPr>
      </w:pPr>
    </w:p>
    <w:p w:rsidR="009E09E1" w:rsidRDefault="009E09E1" w:rsidP="00FF292F">
      <w:pPr>
        <w:keepLines/>
        <w:rPr>
          <w:lang w:val="pl-PL"/>
        </w:rPr>
      </w:pPr>
      <w:r>
        <w:rPr>
          <w:lang w:val="pl-PL"/>
        </w:rPr>
        <w:t xml:space="preserve">Na mocy </w:t>
      </w:r>
      <w:r w:rsidRPr="00503CDE">
        <w:rPr>
          <w:lang w:val="pl-PL"/>
        </w:rPr>
        <w:t xml:space="preserve">art. 228 ust. 2 ustawy </w:t>
      </w:r>
      <w:r>
        <w:rPr>
          <w:lang w:val="pl-PL"/>
        </w:rPr>
        <w:t>organ</w:t>
      </w:r>
      <w:r w:rsidRPr="00503CDE">
        <w:rPr>
          <w:lang w:val="pl-PL"/>
        </w:rPr>
        <w:t xml:space="preserve"> stanowiąc</w:t>
      </w:r>
      <w:r>
        <w:rPr>
          <w:lang w:val="pl-PL"/>
        </w:rPr>
        <w:t>y</w:t>
      </w:r>
      <w:r w:rsidRPr="00503CDE">
        <w:rPr>
          <w:lang w:val="pl-PL"/>
        </w:rPr>
        <w:t xml:space="preserve"> jednostki samorządu terytorialnego moż</w:t>
      </w:r>
      <w:r>
        <w:rPr>
          <w:lang w:val="pl-PL"/>
        </w:rPr>
        <w:t>e</w:t>
      </w:r>
      <w:r w:rsidRPr="00503CDE">
        <w:rPr>
          <w:lang w:val="pl-PL"/>
        </w:rPr>
        <w:t xml:space="preserve"> upoważni</w:t>
      </w:r>
      <w:r>
        <w:rPr>
          <w:lang w:val="pl-PL"/>
        </w:rPr>
        <w:t>ć</w:t>
      </w:r>
      <w:r w:rsidRPr="00503CDE">
        <w:rPr>
          <w:lang w:val="pl-PL"/>
        </w:rPr>
        <w:t xml:space="preserve"> zarząd tej jednostki do przekazania uprawnień kierownikom jednostek organizacyjnych jednostki samorządu terytorialnego do zaciągania zobowiązań, o których mowa w ust. 1. </w:t>
      </w:r>
    </w:p>
    <w:p w:rsidR="009E09E1" w:rsidRPr="00503CDE" w:rsidRDefault="009E09E1" w:rsidP="00AF51D8">
      <w:pPr>
        <w:keepLines/>
        <w:ind w:firstLine="850"/>
        <w:rPr>
          <w:lang w:val="pl-PL"/>
        </w:rPr>
      </w:pPr>
    </w:p>
    <w:p w:rsidR="009E09E1" w:rsidRDefault="009E09E1" w:rsidP="00FF292F">
      <w:pPr>
        <w:keepLines/>
        <w:rPr>
          <w:lang w:val="pl-PL"/>
        </w:rPr>
      </w:pPr>
      <w:r w:rsidRPr="00503CDE">
        <w:rPr>
          <w:lang w:val="pl-PL"/>
        </w:rPr>
        <w:t>W tej sytuacji wywołanie uchwały jest uzasadnione. Inicjatorem wywołania uchwały jest Prezydent Miasta Inowrocławia. </w:t>
      </w:r>
    </w:p>
    <w:p w:rsidR="009E09E1" w:rsidRDefault="009E09E1" w:rsidP="00AF51D8">
      <w:pPr>
        <w:rPr>
          <w:lang w:val="pl-PL"/>
        </w:rPr>
      </w:pPr>
    </w:p>
    <w:p w:rsidR="00CD52F3" w:rsidRDefault="00CD52F3" w:rsidP="00AF51D8">
      <w:pPr>
        <w:rPr>
          <w:lang w:val="pl-PL"/>
        </w:rPr>
      </w:pPr>
    </w:p>
    <w:p w:rsidR="00CD52F3" w:rsidRPr="00B9406F" w:rsidRDefault="00CD52F3" w:rsidP="00C2099D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</w:rPr>
      </w:pPr>
      <w:r w:rsidRPr="00B9406F">
        <w:t xml:space="preserve">Rada Miejska Inowrocławia podjęła uchwałę </w:t>
      </w:r>
      <w:r w:rsidRPr="00B9406F">
        <w:rPr>
          <w:bCs/>
          <w:color w:val="000000"/>
          <w:shd w:val="clear" w:color="auto" w:fill="FFFFFF"/>
        </w:rPr>
        <w:t xml:space="preserve"> </w:t>
      </w:r>
      <w:r w:rsidRPr="00B9406F">
        <w:t>w sprawie Wieloletniej Prognozy Finansowej Miasta Inowrocławia na lata 2017-2028</w:t>
      </w:r>
      <w:r w:rsidRPr="00B9406F">
        <w:rPr>
          <w:rFonts w:ascii="TimesNewRomanPS-BoldMT" w:hAnsi="TimesNewRomanPS-BoldMT" w:cs="TimesNewRomanPS-BoldMT"/>
          <w:b/>
          <w:bCs/>
        </w:rPr>
        <w:t xml:space="preserve"> </w:t>
      </w:r>
      <w:r w:rsidRPr="00B9406F">
        <w:t>w głosowaniu jawnym.</w:t>
      </w:r>
    </w:p>
    <w:p w:rsidR="00CD52F3" w:rsidRPr="00177530" w:rsidRDefault="00CD52F3" w:rsidP="00CD52F3">
      <w:pPr>
        <w:keepNext/>
        <w:autoSpaceDE w:val="0"/>
        <w:autoSpaceDN w:val="0"/>
        <w:adjustRightInd w:val="0"/>
      </w:pPr>
      <w:r w:rsidRPr="00B9406F">
        <w:t>Na 23 radny</w:t>
      </w:r>
      <w:r w:rsidR="001956DB">
        <w:t>ch w głosowaniu wzięło udział 22</w:t>
      </w:r>
      <w:r w:rsidRPr="00B9406F">
        <w:t xml:space="preserve"> radnych obecnych na sesji. Za</w:t>
      </w:r>
      <w:r w:rsidR="001956DB">
        <w:t xml:space="preserve"> przyjęciem uchwały głosowało 14 radnych, głosy przeciwne - 8</w:t>
      </w:r>
      <w:r w:rsidRPr="00B9406F">
        <w:t>, wstrzymujących</w:t>
      </w:r>
      <w:r w:rsidR="001956DB">
        <w:t xml:space="preserve"> się – 0.</w:t>
      </w:r>
      <w:bookmarkStart w:id="0" w:name="_GoBack"/>
      <w:bookmarkEnd w:id="0"/>
    </w:p>
    <w:p w:rsidR="009E09E1" w:rsidRDefault="009E09E1" w:rsidP="00AF51D8">
      <w:pPr>
        <w:rPr>
          <w:lang w:val="pl-PL"/>
        </w:rPr>
      </w:pPr>
    </w:p>
    <w:p w:rsidR="00C2099D" w:rsidRPr="00F63789" w:rsidRDefault="00C2099D" w:rsidP="00AF51D8">
      <w:pPr>
        <w:rPr>
          <w:lang w:val="pl-PL"/>
        </w:rPr>
      </w:pPr>
    </w:p>
    <w:tbl>
      <w:tblPr>
        <w:tblW w:w="51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667"/>
      </w:tblGrid>
      <w:tr w:rsidR="009E09E1" w:rsidRPr="002958FD" w:rsidTr="008C5A00">
        <w:trPr>
          <w:trHeight w:val="2090"/>
        </w:trPr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CD52F3" w:rsidRDefault="00CD52F3" w:rsidP="008C5A00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Przewodniczący Rady Miejskiej </w:t>
            </w:r>
            <w:r w:rsidR="00C2099D">
              <w:rPr>
                <w:b/>
                <w:sz w:val="28"/>
                <w:szCs w:val="28"/>
                <w:lang w:val="pl-PL"/>
              </w:rPr>
              <w:t xml:space="preserve"> I</w:t>
            </w:r>
            <w:r w:rsidR="008C5A00">
              <w:rPr>
                <w:b/>
                <w:sz w:val="28"/>
                <w:szCs w:val="28"/>
                <w:lang w:val="pl-PL"/>
              </w:rPr>
              <w:t>nowrocławia</w:t>
            </w:r>
          </w:p>
          <w:p w:rsidR="00CD52F3" w:rsidRPr="00210A28" w:rsidRDefault="00CD52F3" w:rsidP="00CD52F3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CD52F3" w:rsidRPr="00210A28" w:rsidRDefault="00CD52F3" w:rsidP="00CD52F3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F63789" w:rsidRDefault="009E09E1" w:rsidP="00D12269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503CDE" w:rsidRDefault="009E09E1" w:rsidP="00AF51D8">
      <w:pPr>
        <w:spacing w:after="100" w:afterAutospacing="1"/>
        <w:rPr>
          <w:lang w:val="pl-PL"/>
        </w:rPr>
      </w:pPr>
    </w:p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54" w:rsidRDefault="00D71E54">
      <w:r>
        <w:separator/>
      </w:r>
    </w:p>
  </w:endnote>
  <w:endnote w:type="continuationSeparator" w:id="0">
    <w:p w:rsidR="00D71E54" w:rsidRDefault="00D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54" w:rsidRDefault="00D71E54">
      <w:r>
        <w:separator/>
      </w:r>
    </w:p>
  </w:footnote>
  <w:footnote w:type="continuationSeparator" w:id="0">
    <w:p w:rsidR="00D71E54" w:rsidRDefault="00D7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54" w:rsidRDefault="00D71E54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E54" w:rsidRDefault="00D71E54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54" w:rsidRDefault="00D71E54" w:rsidP="00CC378B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6DB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D71E54" w:rsidRDefault="00D71E54" w:rsidP="00CC378B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8"/>
    <w:rsid w:val="000171C5"/>
    <w:rsid w:val="00026829"/>
    <w:rsid w:val="0003451E"/>
    <w:rsid w:val="0003663D"/>
    <w:rsid w:val="0004180E"/>
    <w:rsid w:val="00064B83"/>
    <w:rsid w:val="00065344"/>
    <w:rsid w:val="000657D5"/>
    <w:rsid w:val="00077849"/>
    <w:rsid w:val="00095C38"/>
    <w:rsid w:val="0009691A"/>
    <w:rsid w:val="000A7ADF"/>
    <w:rsid w:val="00100187"/>
    <w:rsid w:val="00100907"/>
    <w:rsid w:val="00102996"/>
    <w:rsid w:val="00115AC4"/>
    <w:rsid w:val="0011784E"/>
    <w:rsid w:val="00130FB7"/>
    <w:rsid w:val="001805A8"/>
    <w:rsid w:val="001870C2"/>
    <w:rsid w:val="00191EBB"/>
    <w:rsid w:val="001956DB"/>
    <w:rsid w:val="001B4F39"/>
    <w:rsid w:val="001C7BF7"/>
    <w:rsid w:val="001E6B79"/>
    <w:rsid w:val="001E6FBB"/>
    <w:rsid w:val="00200C9B"/>
    <w:rsid w:val="00210A28"/>
    <w:rsid w:val="00223FD8"/>
    <w:rsid w:val="0024420E"/>
    <w:rsid w:val="00247BF7"/>
    <w:rsid w:val="00250501"/>
    <w:rsid w:val="00251449"/>
    <w:rsid w:val="002528A2"/>
    <w:rsid w:val="002924A6"/>
    <w:rsid w:val="002937D1"/>
    <w:rsid w:val="002958FD"/>
    <w:rsid w:val="002A4E4A"/>
    <w:rsid w:val="002B1CB6"/>
    <w:rsid w:val="002C0B86"/>
    <w:rsid w:val="002D41C1"/>
    <w:rsid w:val="002D681A"/>
    <w:rsid w:val="002F71B4"/>
    <w:rsid w:val="00310F00"/>
    <w:rsid w:val="00340D88"/>
    <w:rsid w:val="00361DA2"/>
    <w:rsid w:val="00373227"/>
    <w:rsid w:val="003A1C75"/>
    <w:rsid w:val="003B06DC"/>
    <w:rsid w:val="003B4D4C"/>
    <w:rsid w:val="003B5C05"/>
    <w:rsid w:val="003F55E6"/>
    <w:rsid w:val="00405C4B"/>
    <w:rsid w:val="00417FA9"/>
    <w:rsid w:val="004260E9"/>
    <w:rsid w:val="0043283F"/>
    <w:rsid w:val="00445F96"/>
    <w:rsid w:val="004615E0"/>
    <w:rsid w:val="00461856"/>
    <w:rsid w:val="004665F8"/>
    <w:rsid w:val="0047034A"/>
    <w:rsid w:val="004726CB"/>
    <w:rsid w:val="00481A82"/>
    <w:rsid w:val="00493B0E"/>
    <w:rsid w:val="004A2E95"/>
    <w:rsid w:val="004B0A7A"/>
    <w:rsid w:val="004B284D"/>
    <w:rsid w:val="004C7411"/>
    <w:rsid w:val="00503CDE"/>
    <w:rsid w:val="00521B86"/>
    <w:rsid w:val="00533649"/>
    <w:rsid w:val="00544251"/>
    <w:rsid w:val="00544804"/>
    <w:rsid w:val="005547FD"/>
    <w:rsid w:val="00560058"/>
    <w:rsid w:val="00566733"/>
    <w:rsid w:val="00572A0D"/>
    <w:rsid w:val="005A6244"/>
    <w:rsid w:val="005B1701"/>
    <w:rsid w:val="005C0787"/>
    <w:rsid w:val="005D26B3"/>
    <w:rsid w:val="0062095C"/>
    <w:rsid w:val="006438C8"/>
    <w:rsid w:val="00654B4F"/>
    <w:rsid w:val="00670937"/>
    <w:rsid w:val="00671A22"/>
    <w:rsid w:val="00693F6B"/>
    <w:rsid w:val="00695C0E"/>
    <w:rsid w:val="006A55D4"/>
    <w:rsid w:val="006A597E"/>
    <w:rsid w:val="006C47FC"/>
    <w:rsid w:val="006C76AB"/>
    <w:rsid w:val="00722422"/>
    <w:rsid w:val="00726999"/>
    <w:rsid w:val="00732779"/>
    <w:rsid w:val="007416FE"/>
    <w:rsid w:val="00757AFA"/>
    <w:rsid w:val="0077252E"/>
    <w:rsid w:val="00774D9C"/>
    <w:rsid w:val="00783488"/>
    <w:rsid w:val="007875CE"/>
    <w:rsid w:val="007A173F"/>
    <w:rsid w:val="007A5497"/>
    <w:rsid w:val="007A5F09"/>
    <w:rsid w:val="007D1183"/>
    <w:rsid w:val="007E67F1"/>
    <w:rsid w:val="007F1096"/>
    <w:rsid w:val="007F1E68"/>
    <w:rsid w:val="0081328D"/>
    <w:rsid w:val="00816B8C"/>
    <w:rsid w:val="00817CD1"/>
    <w:rsid w:val="00821FDE"/>
    <w:rsid w:val="0082545D"/>
    <w:rsid w:val="008375DD"/>
    <w:rsid w:val="00850AC2"/>
    <w:rsid w:val="00865F90"/>
    <w:rsid w:val="00877E68"/>
    <w:rsid w:val="00881DDC"/>
    <w:rsid w:val="008C5A00"/>
    <w:rsid w:val="00900279"/>
    <w:rsid w:val="0090316B"/>
    <w:rsid w:val="00913917"/>
    <w:rsid w:val="00921A76"/>
    <w:rsid w:val="00924D8D"/>
    <w:rsid w:val="009676B0"/>
    <w:rsid w:val="009737EE"/>
    <w:rsid w:val="009747B4"/>
    <w:rsid w:val="009C3518"/>
    <w:rsid w:val="009C61E9"/>
    <w:rsid w:val="009C69AB"/>
    <w:rsid w:val="009E09E1"/>
    <w:rsid w:val="009F10FD"/>
    <w:rsid w:val="009F6D0A"/>
    <w:rsid w:val="00A0710F"/>
    <w:rsid w:val="00A115C5"/>
    <w:rsid w:val="00A271F0"/>
    <w:rsid w:val="00A36EBF"/>
    <w:rsid w:val="00A45FCF"/>
    <w:rsid w:val="00A54AC0"/>
    <w:rsid w:val="00A600CF"/>
    <w:rsid w:val="00A74E59"/>
    <w:rsid w:val="00A87B86"/>
    <w:rsid w:val="00AB5A5E"/>
    <w:rsid w:val="00AC3C7A"/>
    <w:rsid w:val="00AD682B"/>
    <w:rsid w:val="00AF51D8"/>
    <w:rsid w:val="00B12424"/>
    <w:rsid w:val="00B14EAE"/>
    <w:rsid w:val="00B41B7F"/>
    <w:rsid w:val="00B41E87"/>
    <w:rsid w:val="00B43038"/>
    <w:rsid w:val="00B5036A"/>
    <w:rsid w:val="00B579A9"/>
    <w:rsid w:val="00B643CE"/>
    <w:rsid w:val="00B65728"/>
    <w:rsid w:val="00B71B48"/>
    <w:rsid w:val="00B754F9"/>
    <w:rsid w:val="00B7744D"/>
    <w:rsid w:val="00B80670"/>
    <w:rsid w:val="00B8246D"/>
    <w:rsid w:val="00B923D3"/>
    <w:rsid w:val="00B927E1"/>
    <w:rsid w:val="00BB61B6"/>
    <w:rsid w:val="00BE2DA4"/>
    <w:rsid w:val="00BF55A2"/>
    <w:rsid w:val="00C01A03"/>
    <w:rsid w:val="00C04F15"/>
    <w:rsid w:val="00C2099D"/>
    <w:rsid w:val="00C2555F"/>
    <w:rsid w:val="00C34E26"/>
    <w:rsid w:val="00C45D76"/>
    <w:rsid w:val="00C6773E"/>
    <w:rsid w:val="00C8559B"/>
    <w:rsid w:val="00CC378B"/>
    <w:rsid w:val="00CD52F3"/>
    <w:rsid w:val="00CE2139"/>
    <w:rsid w:val="00CF0DD1"/>
    <w:rsid w:val="00CF6A64"/>
    <w:rsid w:val="00D12269"/>
    <w:rsid w:val="00D21AFB"/>
    <w:rsid w:val="00D3332D"/>
    <w:rsid w:val="00D34996"/>
    <w:rsid w:val="00D43E82"/>
    <w:rsid w:val="00D44578"/>
    <w:rsid w:val="00D71E54"/>
    <w:rsid w:val="00D72E6B"/>
    <w:rsid w:val="00D84E5C"/>
    <w:rsid w:val="00D97162"/>
    <w:rsid w:val="00DB6F9C"/>
    <w:rsid w:val="00DC02B0"/>
    <w:rsid w:val="00DD7F97"/>
    <w:rsid w:val="00DE1C81"/>
    <w:rsid w:val="00DE3A60"/>
    <w:rsid w:val="00DF3972"/>
    <w:rsid w:val="00DF3AFD"/>
    <w:rsid w:val="00DF4E3A"/>
    <w:rsid w:val="00E01567"/>
    <w:rsid w:val="00E1012C"/>
    <w:rsid w:val="00E279FF"/>
    <w:rsid w:val="00E31882"/>
    <w:rsid w:val="00E32821"/>
    <w:rsid w:val="00E45FB7"/>
    <w:rsid w:val="00E7378D"/>
    <w:rsid w:val="00E84C1A"/>
    <w:rsid w:val="00E85315"/>
    <w:rsid w:val="00E93548"/>
    <w:rsid w:val="00E9439A"/>
    <w:rsid w:val="00EA0E1A"/>
    <w:rsid w:val="00EA150F"/>
    <w:rsid w:val="00EC04AC"/>
    <w:rsid w:val="00EC4717"/>
    <w:rsid w:val="00ED6575"/>
    <w:rsid w:val="00ED738D"/>
    <w:rsid w:val="00EE236E"/>
    <w:rsid w:val="00F079A9"/>
    <w:rsid w:val="00F242F2"/>
    <w:rsid w:val="00F26096"/>
    <w:rsid w:val="00F34599"/>
    <w:rsid w:val="00F3794C"/>
    <w:rsid w:val="00F44878"/>
    <w:rsid w:val="00F503A4"/>
    <w:rsid w:val="00F5187A"/>
    <w:rsid w:val="00F51A50"/>
    <w:rsid w:val="00F63789"/>
    <w:rsid w:val="00F65675"/>
    <w:rsid w:val="00F672B7"/>
    <w:rsid w:val="00F731CE"/>
    <w:rsid w:val="00F92BEE"/>
    <w:rsid w:val="00F93594"/>
    <w:rsid w:val="00F9540C"/>
    <w:rsid w:val="00FA5215"/>
    <w:rsid w:val="00FB402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DA2F-EC91-4D76-84DE-221315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FB4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7134</Words>
  <Characters>42804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Marta Połeć</cp:lastModifiedBy>
  <cp:revision>6</cp:revision>
  <cp:lastPrinted>2016-12-15T14:18:00Z</cp:lastPrinted>
  <dcterms:created xsi:type="dcterms:W3CDTF">2016-12-16T13:44:00Z</dcterms:created>
  <dcterms:modified xsi:type="dcterms:W3CDTF">2016-12-19T13:15:00Z</dcterms:modified>
</cp:coreProperties>
</file>