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1" w:rsidRDefault="009E09E1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710BA7">
        <w:rPr>
          <w:b/>
          <w:caps/>
          <w:sz w:val="28"/>
          <w:szCs w:val="28"/>
          <w:lang w:val="pl-PL"/>
        </w:rPr>
        <w:t>XV/141/2015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9E09E1" w:rsidP="00AF51D8">
      <w:pPr>
        <w:jc w:val="center"/>
        <w:rPr>
          <w:sz w:val="28"/>
          <w:szCs w:val="28"/>
          <w:lang w:val="pl-PL"/>
        </w:rPr>
      </w:pPr>
      <w:r w:rsidRPr="00783488">
        <w:rPr>
          <w:sz w:val="28"/>
          <w:szCs w:val="28"/>
          <w:lang w:val="pl-PL"/>
        </w:rPr>
        <w:t xml:space="preserve">z dnia </w:t>
      </w:r>
      <w:r w:rsidR="00710BA7">
        <w:rPr>
          <w:sz w:val="28"/>
          <w:szCs w:val="28"/>
          <w:lang w:val="pl-PL"/>
        </w:rPr>
        <w:t xml:space="preserve">21 grudnia 2015 r. 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9E09E1" w:rsidRPr="00503CDE" w:rsidRDefault="009E09E1" w:rsidP="00AF51D8">
      <w:pPr>
        <w:keepNext/>
        <w:spacing w:after="480"/>
        <w:jc w:val="center"/>
        <w:rPr>
          <w:b/>
          <w:caps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w sprawie </w:t>
      </w:r>
      <w:r w:rsidRPr="00503CDE">
        <w:rPr>
          <w:b/>
          <w:sz w:val="28"/>
          <w:szCs w:val="28"/>
          <w:lang w:val="pl-PL"/>
        </w:rPr>
        <w:t xml:space="preserve">Wieloletniej Prognozy Finansowej Miasta Inowrocławia </w:t>
      </w:r>
      <w:r>
        <w:rPr>
          <w:b/>
          <w:sz w:val="28"/>
          <w:szCs w:val="28"/>
          <w:lang w:val="pl-PL"/>
        </w:rPr>
        <w:br/>
      </w:r>
      <w:r w:rsidRPr="00503CDE">
        <w:rPr>
          <w:b/>
          <w:sz w:val="28"/>
          <w:szCs w:val="28"/>
          <w:lang w:val="pl-PL"/>
        </w:rPr>
        <w:t>na lata 201</w:t>
      </w:r>
      <w:r w:rsidR="00A36EBF">
        <w:rPr>
          <w:b/>
          <w:sz w:val="28"/>
          <w:szCs w:val="28"/>
          <w:lang w:val="pl-PL"/>
        </w:rPr>
        <w:t>6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art. 228 i art. </w:t>
      </w:r>
      <w:r w:rsidRPr="00503CDE">
        <w:rPr>
          <w:lang w:val="pl-PL"/>
        </w:rPr>
        <w:t xml:space="preserve">230 ust. 6 ustawy z dnia 27 sierpnia 2009 r. o finansach publicznych </w:t>
      </w:r>
      <w:r>
        <w:rPr>
          <w:lang w:val="pl-PL"/>
        </w:rPr>
        <w:t xml:space="preserve"> </w:t>
      </w:r>
      <w:r w:rsidRPr="00F242F2">
        <w:rPr>
          <w:lang w:val="pl-PL"/>
        </w:rPr>
        <w:t xml:space="preserve">(Dz. U. z 2013 r. poz. 885, 938 i 1646, </w:t>
      </w:r>
      <w:r w:rsidR="00D44578" w:rsidRPr="00D44578">
        <w:rPr>
          <w:lang w:val="pl-PL"/>
        </w:rPr>
        <w:t>z 2014 r.  poz. 379, 911, 1146, 1626 i 1877 oraz z 2015 r. poz. 238, 532, 1045, 1117, 1130, 1189, 1190, 1269, 1358</w:t>
      </w:r>
      <w:r w:rsidR="00CC6EE4">
        <w:rPr>
          <w:lang w:val="pl-PL"/>
        </w:rPr>
        <w:t xml:space="preserve">, </w:t>
      </w:r>
      <w:r w:rsidR="00D44578" w:rsidRPr="00D44578">
        <w:rPr>
          <w:lang w:val="pl-PL"/>
        </w:rPr>
        <w:t>1513</w:t>
      </w:r>
      <w:r w:rsidR="00CC6EE4">
        <w:rPr>
          <w:lang w:val="pl-PL"/>
        </w:rPr>
        <w:t>, 1830, 1854, 1890 i 2150</w:t>
      </w:r>
      <w:bookmarkStart w:id="0" w:name="_GoBack"/>
      <w:bookmarkEnd w:id="0"/>
      <w:r w:rsidRPr="00F242F2">
        <w:rPr>
          <w:lang w:val="pl-PL"/>
        </w:rPr>
        <w:t xml:space="preserve">) </w:t>
      </w:r>
      <w:r w:rsidRPr="00503CDE">
        <w:rPr>
          <w:lang w:val="pl-PL"/>
        </w:rPr>
        <w:t>uchwala się, co następuje: </w:t>
      </w:r>
    </w:p>
    <w:p w:rsidR="009E09E1" w:rsidRDefault="009E09E1" w:rsidP="00AF51D8">
      <w:pPr>
        <w:keepLines/>
        <w:spacing w:before="240" w:after="120"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Pr="00503CDE">
        <w:rPr>
          <w:lang w:val="pl-PL"/>
        </w:rPr>
        <w:t>Uchwala się Wieloletnią Prognozę Finansową Mi</w:t>
      </w:r>
      <w:r>
        <w:rPr>
          <w:lang w:val="pl-PL"/>
        </w:rPr>
        <w:t xml:space="preserve">asta Inowrocławia na lata </w:t>
      </w:r>
      <w:r>
        <w:rPr>
          <w:lang w:val="pl-PL"/>
        </w:rPr>
        <w:br/>
        <w:t>201</w:t>
      </w:r>
      <w:r w:rsidR="00A36EBF">
        <w:rPr>
          <w:lang w:val="pl-PL"/>
        </w:rPr>
        <w:t>6</w:t>
      </w:r>
      <w:r>
        <w:rPr>
          <w:lang w:val="pl-PL"/>
        </w:rPr>
        <w:t>-2028, zwaną dalej „</w:t>
      </w:r>
      <w:r w:rsidR="00361DA2">
        <w:rPr>
          <w:lang w:val="pl-PL"/>
        </w:rPr>
        <w:t>P</w:t>
      </w:r>
      <w:r>
        <w:rPr>
          <w:lang w:val="pl-PL"/>
        </w:rPr>
        <w:t xml:space="preserve">rognozą", stanowiącą </w:t>
      </w:r>
      <w:r w:rsidRPr="00503CDE">
        <w:rPr>
          <w:lang w:val="pl-PL"/>
        </w:rPr>
        <w:t>załącznik</w:t>
      </w:r>
      <w:r>
        <w:rPr>
          <w:lang w:val="pl-PL"/>
        </w:rPr>
        <w:t xml:space="preserve"> nr </w:t>
      </w:r>
      <w:r w:rsidRPr="00503CDE">
        <w:rPr>
          <w:lang w:val="pl-PL"/>
        </w:rPr>
        <w:t>1</w:t>
      </w:r>
      <w:r>
        <w:rPr>
          <w:lang w:val="pl-PL"/>
        </w:rPr>
        <w:t xml:space="preserve"> do uchwały, w skład której wchodzą:</w:t>
      </w:r>
    </w:p>
    <w:p w:rsidR="009E09E1" w:rsidRDefault="009E09E1" w:rsidP="00F34599">
      <w:pPr>
        <w:keepLines/>
        <w:rPr>
          <w:lang w:val="pl-PL"/>
        </w:rPr>
      </w:pPr>
      <w:r>
        <w:rPr>
          <w:lang w:val="pl-PL"/>
        </w:rPr>
        <w:t xml:space="preserve">1) </w:t>
      </w:r>
      <w:r w:rsidRPr="00503CDE">
        <w:rPr>
          <w:lang w:val="pl-PL"/>
        </w:rPr>
        <w:t> </w:t>
      </w:r>
      <w:r>
        <w:rPr>
          <w:lang w:val="pl-PL"/>
        </w:rPr>
        <w:t>Wieloletnia</w:t>
      </w:r>
      <w:r w:rsidRPr="00503CDE">
        <w:rPr>
          <w:lang w:val="pl-PL"/>
        </w:rPr>
        <w:t xml:space="preserve"> Prognoz</w:t>
      </w:r>
      <w:r>
        <w:rPr>
          <w:lang w:val="pl-PL"/>
        </w:rPr>
        <w:t>a</w:t>
      </w:r>
      <w:r w:rsidRPr="00503CDE">
        <w:rPr>
          <w:lang w:val="pl-PL"/>
        </w:rPr>
        <w:t xml:space="preserve"> Finansow</w:t>
      </w:r>
      <w:r w:rsidR="00A36EBF">
        <w:rPr>
          <w:lang w:val="pl-PL"/>
        </w:rPr>
        <w:t>a na lata 2016</w:t>
      </w:r>
      <w:r>
        <w:rPr>
          <w:lang w:val="pl-PL"/>
        </w:rPr>
        <w:t>-2028;</w:t>
      </w:r>
    </w:p>
    <w:p w:rsidR="009E09E1" w:rsidRDefault="009E09E1" w:rsidP="00F34599">
      <w:pPr>
        <w:keepLines/>
        <w:rPr>
          <w:lang w:val="pl-PL"/>
        </w:rPr>
      </w:pPr>
      <w:r>
        <w:rPr>
          <w:lang w:val="pl-PL"/>
        </w:rPr>
        <w:t>2)  objaśnienia do Wieloletniej</w:t>
      </w:r>
      <w:r w:rsidRPr="00503CDE">
        <w:rPr>
          <w:lang w:val="pl-PL"/>
        </w:rPr>
        <w:t xml:space="preserve"> Prognoz</w:t>
      </w:r>
      <w:r>
        <w:rPr>
          <w:lang w:val="pl-PL"/>
        </w:rPr>
        <w:t>y</w:t>
      </w:r>
      <w:r w:rsidRPr="00503CDE">
        <w:rPr>
          <w:lang w:val="pl-PL"/>
        </w:rPr>
        <w:t xml:space="preserve"> Finansow</w:t>
      </w:r>
      <w:r>
        <w:rPr>
          <w:lang w:val="pl-PL"/>
        </w:rPr>
        <w:t>ej na lata 201</w:t>
      </w:r>
      <w:r w:rsidR="00BE2DA4">
        <w:rPr>
          <w:lang w:val="pl-PL"/>
        </w:rPr>
        <w:t>6</w:t>
      </w:r>
      <w:r>
        <w:rPr>
          <w:lang w:val="pl-PL"/>
        </w:rPr>
        <w:t>-2028.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503CDE">
        <w:rPr>
          <w:b/>
          <w:lang w:val="pl-PL"/>
        </w:rPr>
        <w:t>§ 2. </w:t>
      </w:r>
      <w:r w:rsidRPr="00503CDE">
        <w:rPr>
          <w:lang w:val="pl-PL"/>
        </w:rPr>
        <w:t xml:space="preserve">Określa się wykaz przedsięwzięć </w:t>
      </w:r>
      <w:r>
        <w:rPr>
          <w:lang w:val="pl-PL"/>
        </w:rPr>
        <w:t xml:space="preserve"> </w:t>
      </w:r>
      <w:r w:rsidR="00D44578">
        <w:rPr>
          <w:lang w:val="pl-PL"/>
        </w:rPr>
        <w:t xml:space="preserve">przewidzianych do </w:t>
      </w:r>
      <w:r>
        <w:rPr>
          <w:lang w:val="pl-PL"/>
        </w:rPr>
        <w:t>realiz</w:t>
      </w:r>
      <w:r w:rsidR="00D44578">
        <w:rPr>
          <w:lang w:val="pl-PL"/>
        </w:rPr>
        <w:t>acji</w:t>
      </w:r>
      <w:r>
        <w:rPr>
          <w:lang w:val="pl-PL"/>
        </w:rPr>
        <w:t xml:space="preserve"> w latach 201</w:t>
      </w:r>
      <w:r w:rsidR="00A36EBF">
        <w:rPr>
          <w:lang w:val="pl-PL"/>
        </w:rPr>
        <w:t>6</w:t>
      </w:r>
      <w:r>
        <w:rPr>
          <w:lang w:val="pl-PL"/>
        </w:rPr>
        <w:t>-</w:t>
      </w:r>
      <w:r w:rsidRPr="00503CDE">
        <w:rPr>
          <w:lang w:val="pl-PL"/>
        </w:rPr>
        <w:t>201</w:t>
      </w:r>
      <w:r w:rsidR="00A36EBF">
        <w:rPr>
          <w:lang w:val="pl-PL"/>
        </w:rPr>
        <w:t>9</w:t>
      </w:r>
      <w:r w:rsidRPr="00503CDE">
        <w:rPr>
          <w:lang w:val="pl-PL"/>
        </w:rPr>
        <w:t xml:space="preserve">, zgodnie z załącznikiem </w:t>
      </w:r>
      <w:r>
        <w:rPr>
          <w:lang w:val="pl-PL"/>
        </w:rPr>
        <w:t>nr 2 do uchwały</w:t>
      </w:r>
      <w:r w:rsidRPr="00503CDE">
        <w:rPr>
          <w:lang w:val="pl-PL"/>
        </w:rPr>
        <w:t>. 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>
        <w:rPr>
          <w:b/>
          <w:lang w:val="pl-PL"/>
        </w:rPr>
        <w:t>§ 3</w:t>
      </w:r>
      <w:r w:rsidRPr="00503CDE">
        <w:rPr>
          <w:b/>
          <w:lang w:val="pl-PL"/>
        </w:rPr>
        <w:t>. </w:t>
      </w:r>
      <w:r w:rsidRPr="00503CDE">
        <w:rPr>
          <w:lang w:val="pl-PL"/>
        </w:rPr>
        <w:t xml:space="preserve">Upoważnia się Prezydenta Miasta Inowrocławia do zaciągania zobowiązań związanych z realizacją przedsięwzięć określonych w załączniku </w:t>
      </w:r>
      <w:r>
        <w:rPr>
          <w:lang w:val="pl-PL"/>
        </w:rPr>
        <w:t>nr 2 do uchwały</w:t>
      </w:r>
      <w:r w:rsidRPr="00503CDE">
        <w:rPr>
          <w:lang w:val="pl-PL"/>
        </w:rPr>
        <w:t>. 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>
        <w:rPr>
          <w:b/>
          <w:lang w:val="pl-PL"/>
        </w:rPr>
        <w:t>§ 4</w:t>
      </w:r>
      <w:r w:rsidRPr="00503CDE">
        <w:rPr>
          <w:b/>
          <w:lang w:val="pl-PL"/>
        </w:rPr>
        <w:t>. </w:t>
      </w:r>
      <w:r w:rsidRPr="00503CDE">
        <w:rPr>
          <w:lang w:val="pl-PL"/>
        </w:rPr>
        <w:t>Upoważnia się Prezydenta Miasta Inowrocławia do zaciągania zobowiązań z tytułu umów, których realizacja w roku budżetowym i w latach następnych jest niezbędna do zapewnienia ciągłości działania jednostki</w:t>
      </w:r>
      <w:r>
        <w:rPr>
          <w:lang w:val="pl-PL"/>
        </w:rPr>
        <w:t>,</w:t>
      </w:r>
      <w:r w:rsidRPr="00503CDE">
        <w:rPr>
          <w:lang w:val="pl-PL"/>
        </w:rPr>
        <w:t xml:space="preserve"> i z których wynikają płatności wykraczające poza rok budżetowy. 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>
        <w:rPr>
          <w:b/>
          <w:lang w:val="pl-PL"/>
        </w:rPr>
        <w:t>§ 5</w:t>
      </w:r>
      <w:r w:rsidRPr="00503CDE">
        <w:rPr>
          <w:b/>
          <w:lang w:val="pl-PL"/>
        </w:rPr>
        <w:t>. </w:t>
      </w:r>
      <w:r w:rsidRPr="00503CDE">
        <w:rPr>
          <w:lang w:val="pl-PL"/>
        </w:rPr>
        <w:t>Upoważnia się Prezydenta Miasta Inowrocławia do przekazania uprawnień w zakresie zaciągania zobowiązań, określonych w §§</w:t>
      </w:r>
      <w:r>
        <w:rPr>
          <w:lang w:val="pl-PL"/>
        </w:rPr>
        <w:t xml:space="preserve"> 3  i 4</w:t>
      </w:r>
      <w:r w:rsidRPr="00503CDE">
        <w:rPr>
          <w:lang w:val="pl-PL"/>
        </w:rPr>
        <w:t>, kierownikom jednostek organizacyjnych realizujący</w:t>
      </w:r>
      <w:r>
        <w:rPr>
          <w:lang w:val="pl-PL"/>
        </w:rPr>
        <w:t>ch</w:t>
      </w:r>
      <w:r w:rsidRPr="00503CDE">
        <w:rPr>
          <w:lang w:val="pl-PL"/>
        </w:rPr>
        <w:t xml:space="preserve"> przedsięwzięcia ujęte w załączniku </w:t>
      </w:r>
      <w:r>
        <w:rPr>
          <w:lang w:val="pl-PL"/>
        </w:rPr>
        <w:t>nr 2</w:t>
      </w:r>
      <w:r w:rsidRPr="00503CDE">
        <w:rPr>
          <w:lang w:val="pl-PL"/>
        </w:rPr>
        <w:t> do uchwały. </w:t>
      </w:r>
    </w:p>
    <w:p w:rsidR="009E09E1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503CDE">
        <w:rPr>
          <w:b/>
          <w:lang w:val="pl-PL"/>
        </w:rPr>
        <w:t>§</w:t>
      </w:r>
      <w:r>
        <w:rPr>
          <w:b/>
          <w:lang w:val="pl-PL"/>
        </w:rPr>
        <w:t xml:space="preserve"> 6. </w:t>
      </w:r>
      <w:r>
        <w:rPr>
          <w:lang w:val="pl-PL"/>
        </w:rPr>
        <w:t>Wykonanie uchwały powierza się Prezydentowi Miasta Inowrocławia.</w:t>
      </w:r>
    </w:p>
    <w:p w:rsidR="009E09E1" w:rsidRPr="00F242F2" w:rsidRDefault="009E09E1" w:rsidP="00AF51D8">
      <w:pPr>
        <w:keepLines/>
        <w:ind w:firstLine="851"/>
        <w:rPr>
          <w:lang w:val="pl-PL"/>
        </w:rPr>
      </w:pPr>
    </w:p>
    <w:p w:rsidR="009E09E1" w:rsidRPr="003B4D4C" w:rsidRDefault="009E09E1" w:rsidP="00AF51D8">
      <w:pPr>
        <w:keepLines/>
        <w:ind w:firstLine="851"/>
        <w:rPr>
          <w:lang w:val="pl-PL"/>
        </w:rPr>
      </w:pPr>
      <w:r w:rsidRPr="00F242F2">
        <w:rPr>
          <w:b/>
          <w:lang w:val="pl-PL"/>
        </w:rPr>
        <w:t xml:space="preserve">§ </w:t>
      </w:r>
      <w:r>
        <w:rPr>
          <w:b/>
          <w:lang w:val="pl-PL"/>
        </w:rPr>
        <w:t>7</w:t>
      </w:r>
      <w:r w:rsidRPr="00F242F2">
        <w:rPr>
          <w:b/>
          <w:lang w:val="pl-PL"/>
        </w:rPr>
        <w:t>.</w:t>
      </w:r>
      <w:r>
        <w:rPr>
          <w:lang w:val="pl-PL"/>
        </w:rPr>
        <w:t xml:space="preserve"> </w:t>
      </w:r>
      <w:r w:rsidRPr="003B4D4C">
        <w:rPr>
          <w:lang w:val="pl-PL"/>
        </w:rPr>
        <w:t>T</w:t>
      </w:r>
      <w:r>
        <w:rPr>
          <w:lang w:val="pl-PL"/>
        </w:rPr>
        <w:t xml:space="preserve">raci moc uchwała nr </w:t>
      </w:r>
      <w:r w:rsidR="00A36EBF">
        <w:rPr>
          <w:lang w:val="pl-PL"/>
        </w:rPr>
        <w:t>IV/10/2014</w:t>
      </w:r>
      <w:r>
        <w:rPr>
          <w:lang w:val="pl-PL"/>
        </w:rPr>
        <w:t xml:space="preserve"> Rady Miejskiej Inowrocławia z dnia </w:t>
      </w:r>
      <w:r>
        <w:rPr>
          <w:lang w:val="pl-PL"/>
        </w:rPr>
        <w:br/>
      </w:r>
      <w:r w:rsidR="00A36EBF">
        <w:rPr>
          <w:lang w:val="pl-PL"/>
        </w:rPr>
        <w:t>22</w:t>
      </w:r>
      <w:r>
        <w:rPr>
          <w:lang w:val="pl-PL"/>
        </w:rPr>
        <w:t xml:space="preserve"> grudnia 201</w:t>
      </w:r>
      <w:r w:rsidR="00A36EBF">
        <w:rPr>
          <w:lang w:val="pl-PL"/>
        </w:rPr>
        <w:t>4</w:t>
      </w:r>
      <w:r>
        <w:rPr>
          <w:lang w:val="pl-PL"/>
        </w:rPr>
        <w:t xml:space="preserve"> r. w sprawie Wieloletniej Prognozy Finansowej Miasta Inowrocławia na lata 201</w:t>
      </w:r>
      <w:r w:rsidR="00A36EBF">
        <w:rPr>
          <w:lang w:val="pl-PL"/>
        </w:rPr>
        <w:t>5</w:t>
      </w:r>
      <w:r>
        <w:rPr>
          <w:lang w:val="pl-PL"/>
        </w:rPr>
        <w:t>-2028.</w:t>
      </w:r>
    </w:p>
    <w:p w:rsidR="009E09E1" w:rsidRPr="00C04F15" w:rsidRDefault="009E09E1" w:rsidP="008375DD">
      <w:pPr>
        <w:ind w:left="900"/>
        <w:rPr>
          <w:bCs/>
          <w:lang w:val="pl-PL"/>
        </w:rPr>
      </w:pPr>
    </w:p>
    <w:p w:rsidR="009E09E1" w:rsidRDefault="009E09E1" w:rsidP="00AF51D8">
      <w:pPr>
        <w:keepLines/>
        <w:spacing w:before="240" w:after="120"/>
        <w:ind w:firstLine="850"/>
        <w:rPr>
          <w:lang w:val="pl-PL"/>
        </w:rPr>
      </w:pPr>
      <w:r>
        <w:rPr>
          <w:b/>
          <w:lang w:val="pl-PL"/>
        </w:rPr>
        <w:t>§ 8</w:t>
      </w:r>
      <w:r w:rsidRPr="00503CDE">
        <w:rPr>
          <w:b/>
          <w:lang w:val="pl-PL"/>
        </w:rPr>
        <w:t xml:space="preserve">.  </w:t>
      </w:r>
      <w:r w:rsidRPr="00503CDE">
        <w:rPr>
          <w:lang w:val="pl-PL"/>
        </w:rPr>
        <w:t>Uchwała  wchodz</w:t>
      </w:r>
      <w:r>
        <w:rPr>
          <w:lang w:val="pl-PL"/>
        </w:rPr>
        <w:t>i w życie z dniem 1 stycznia 201</w:t>
      </w:r>
      <w:r w:rsidR="00A36EBF">
        <w:rPr>
          <w:lang w:val="pl-PL"/>
        </w:rPr>
        <w:t>6</w:t>
      </w:r>
      <w:r>
        <w:rPr>
          <w:lang w:val="pl-PL"/>
        </w:rPr>
        <w:t xml:space="preserve"> r.</w:t>
      </w:r>
    </w:p>
    <w:p w:rsidR="009E09E1" w:rsidRDefault="009E09E1" w:rsidP="00AF51D8">
      <w:pPr>
        <w:keepLines/>
        <w:rPr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D44578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D44578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DO UCHWAŁY NR</w:t>
            </w:r>
            <w:r w:rsidR="00710BA7">
              <w:rPr>
                <w:b/>
                <w:sz w:val="20"/>
                <w:szCs w:val="20"/>
                <w:lang w:val="pl-PL"/>
              </w:rPr>
              <w:t xml:space="preserve"> XV/141/2015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9E09E1" w:rsidP="00710BA7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>z dnia</w:t>
            </w:r>
            <w:r w:rsidR="00710BA7">
              <w:rPr>
                <w:sz w:val="20"/>
                <w:szCs w:val="20"/>
                <w:lang w:val="pl-PL"/>
              </w:rPr>
              <w:t xml:space="preserve"> 21 grudnia </w:t>
            </w:r>
            <w:r w:rsidR="00A36EBF">
              <w:rPr>
                <w:sz w:val="20"/>
                <w:szCs w:val="20"/>
                <w:lang w:val="pl-PL"/>
              </w:rPr>
              <w:t>2015</w:t>
            </w:r>
            <w:r w:rsidRPr="00F242F2">
              <w:rPr>
                <w:sz w:val="20"/>
                <w:szCs w:val="20"/>
                <w:lang w:val="pl-PL"/>
              </w:rPr>
              <w:t xml:space="preserve"> r.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1E6FBB">
        <w:rPr>
          <w:b/>
          <w:sz w:val="28"/>
          <w:szCs w:val="28"/>
        </w:rPr>
        <w:t>6</w:t>
      </w:r>
      <w:r w:rsidRPr="00CC378B">
        <w:rPr>
          <w:b/>
          <w:sz w:val="28"/>
          <w:szCs w:val="28"/>
        </w:rPr>
        <w:t>-2028</w:t>
      </w:r>
    </w:p>
    <w:p w:rsidR="009E09E1" w:rsidRDefault="009E09E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236"/>
        <w:gridCol w:w="1236"/>
        <w:gridCol w:w="1236"/>
        <w:gridCol w:w="1236"/>
        <w:gridCol w:w="1236"/>
        <w:gridCol w:w="1026"/>
        <w:gridCol w:w="1135"/>
        <w:gridCol w:w="1138"/>
        <w:gridCol w:w="1127"/>
        <w:gridCol w:w="1136"/>
        <w:gridCol w:w="1139"/>
      </w:tblGrid>
      <w:tr w:rsidR="00F672B7" w:rsidTr="00445F96">
        <w:trPr>
          <w:trHeight w:hRule="exact" w:val="230"/>
        </w:trPr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Dochody ogółem </w:t>
            </w:r>
          </w:p>
        </w:tc>
        <w:tc>
          <w:tcPr>
            <w:tcW w:w="4154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bieżące</w:t>
            </w:r>
          </w:p>
        </w:tc>
        <w:tc>
          <w:tcPr>
            <w:tcW w:w="2500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0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majątkowe</w:t>
            </w:r>
          </w:p>
        </w:tc>
        <w:tc>
          <w:tcPr>
            <w:tcW w:w="81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z tytułu udziału we wpływach z podatku dochodowego od osób fizycznych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z tytułu udziału we wpływach z podatku dochodowego od osób prawnych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podatki i opłaty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subwencji ogólnej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tytułu dotacji i środków przeznaczonych na cele bieżące</w:t>
            </w: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ze sprzedaży majątku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tytułu dotacji oraz środków przeznaczonych na inwestycje</w:t>
            </w:r>
          </w:p>
        </w:tc>
      </w:tr>
      <w:tr w:rsidR="00F672B7" w:rsidTr="00445F96">
        <w:trPr>
          <w:trHeight w:hRule="exact" w:val="1590"/>
        </w:trPr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podatku od nieruchomości</w:t>
            </w: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</w:tr>
      <w:tr w:rsidR="00F672B7" w:rsidTr="00445F96">
        <w:trPr>
          <w:trHeight w:hRule="exact" w:val="3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[1.1]+[1.2]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213 258 978,45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201 987 912,33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47 221 410,00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2 422 730,17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49 207 231,60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34 733 867,61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40 178 569,00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37 958 632,74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11 271 066,12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4 563 686,13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6 250 554,58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230 343 009,32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220 814 203,73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49 398 789,00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2 235 093,56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61 340 145,95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37 107 909,50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43 536 686,00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42 037 077,67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9 528 805,59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4 395 020,51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4 504 169,55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266 840 533,82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234 022 461,82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52 674 266,00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2 261 634,00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61 815 913,00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37 400 000,00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40 123 842,58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32 818 072,00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4 000 320,00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27 080 168,00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268 554 525,03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233 168 053,03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52 674 266,00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2 011 634,00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60 874 289,00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37 400 000,00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40 024 149,87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35 386 472,00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25 686 650,00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239 740 000,00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233 775 300,00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55 346 513,00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62 713 071,00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39 219 987,00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51 960 076,00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32 808 071,00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5 964 700,00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3 149 700,00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2 615 000,00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234 595 030,00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231 385 030,00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56 287 000,00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60 866 234,00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38 682 192,00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236 666 998,00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233 856 998,00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57 300 000,00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61 490 562,00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37 576 000,00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52 512 000,00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38 859 832,00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238 976 748,00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236 566 748,00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58 732 500,00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62 268 211,00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38 293 000,00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52 798 000,00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38 889 832,00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241 444 900,00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239 134 900,00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60 200 000,00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63 186 984,00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39 250 000,00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52 876 000,00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38 934 832,00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245 056 000,00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242 846 000,00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61 705 000,00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64 359 384,00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39 763 000,00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53 724 000,00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38 979 832,00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249 127 878,00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247 317 878,00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63 247 600,00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65 793 914,00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40 854 000,00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55 070 000,00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39 024 832,00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251 165 769,00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249 555 769,00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64 282 700,00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65 764 340,00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41 258 000,00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56 015 000,00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39 069 832,00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256 158 780,00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254 748 780,00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66 449 000,00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67 590 891,00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42 017 000,00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57 176 000,00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39 119 832,00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259 998 447,00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258 788 447,00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68 110 000,00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68 428 569,00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42 786 000,00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58 364 000,00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39 159 832,00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264 020 272,00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262 920 272,00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69 812 750,00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69 374 379,00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43 563 000,00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59 590 000,00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39 204 832,00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268 289 046,00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267 289 046,00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71 558 000,00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70 339 322,00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44 358 000,00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61 038 000,00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39 249 832,00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272 251 484,00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271 351 484,00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73 346 000,00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71 187 048,00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45 136 000,00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62 259 000,00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39 294 832,00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284"/>
        <w:gridCol w:w="1284"/>
        <w:gridCol w:w="1285"/>
        <w:gridCol w:w="1285"/>
        <w:gridCol w:w="1285"/>
        <w:gridCol w:w="1285"/>
        <w:gridCol w:w="1285"/>
        <w:gridCol w:w="1285"/>
        <w:gridCol w:w="1285"/>
        <w:gridCol w:w="8"/>
        <w:gridCol w:w="1273"/>
      </w:tblGrid>
      <w:tr w:rsidR="00F672B7" w:rsidTr="00445F96">
        <w:trPr>
          <w:trHeight w:hRule="exact" w:val="230"/>
        </w:trPr>
        <w:tc>
          <w:tcPr>
            <w:tcW w:w="42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ogółem</w:t>
            </w:r>
          </w:p>
        </w:tc>
        <w:tc>
          <w:tcPr>
            <w:tcW w:w="4122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</w:t>
            </w:r>
          </w:p>
        </w:tc>
        <w:tc>
          <w:tcPr>
            <w:tcW w:w="3203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majątkowe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tytułu poręczeń i gwarancji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na obsługę długu</w:t>
            </w:r>
          </w:p>
        </w:tc>
        <w:tc>
          <w:tcPr>
            <w:tcW w:w="1373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20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odsetki i dyskonto określone w art. 243 ust. 1 ustawy </w:t>
            </w:r>
          </w:p>
        </w:tc>
        <w:tc>
          <w:tcPr>
            <w:tcW w:w="91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49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odsetki i dyskonto podlegające wyłączeniu z limitu spłaty zobowiązań, o którym mowa w art. 243 ustawy, z tytułu zobowiązań  zaciągniętych na wkład krajowy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val="92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val="92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2.1.3.1.2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</w:t>
            </w:r>
          </w:p>
        </w:tc>
      </w:tr>
      <w:tr w:rsidR="00F672B7" w:rsidTr="00445F96">
        <w:trPr>
          <w:trHeight w:hRule="exact" w:val="35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[2.1] + [2.2]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209 624 094,48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194 192 914,61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15 431 179,87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227 836 789,79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208 102 621,99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24 826,24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554 612,09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19 734 167,80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261 982 815,82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220 634 504,82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41 348 311,00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262 070 719,03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220 913 388,03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4 211 664,00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4 201 664,00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41 157 331,00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236 165 000,00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220 523 092,00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15 641 908,00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215 324 654,82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205 524 654,82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26 477,00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614 521,00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9 800 000,00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415 605,00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222 160 000,00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212 360 000,00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355 353,00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9 800 000,00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225 035 000,00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134 445,00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12 035 000,00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229 300 000,00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215 500 000,00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13 800 000,00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234 300 000,00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237 800 000,00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15 800 000,00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243 100 000,00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250 500 000,00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258 100 000,00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11 100 000,00</w:t>
            </w:r>
          </w:p>
        </w:tc>
      </w:tr>
    </w:tbl>
    <w:p w:rsidR="009E09E1" w:rsidRDefault="009E09E1" w:rsidP="00654B4F"/>
    <w:p w:rsidR="001E6FBB" w:rsidRDefault="001E6FBB" w:rsidP="00654B4F"/>
    <w:p w:rsidR="001E6FBB" w:rsidRDefault="001E6FBB" w:rsidP="00654B4F"/>
    <w:p w:rsidR="001E6FBB" w:rsidRDefault="001E6FBB" w:rsidP="00654B4F"/>
    <w:p w:rsidR="001E6FBB" w:rsidRDefault="001E6FBB" w:rsidP="00654B4F"/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F672B7" w:rsidTr="00445F96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Inne przychody niezwiązane z zaciągnięciem długu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F672B7" w:rsidTr="00445F96">
        <w:trPr>
          <w:trHeight w:hRule="exact" w:val="182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4.4.1</w:t>
            </w:r>
          </w:p>
        </w:tc>
      </w:tr>
      <w:tr w:rsidR="00F672B7" w:rsidTr="00445F96">
        <w:trPr>
          <w:trHeight w:hRule="exact" w:val="35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[1] -[2]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[4.1] + [4.2] + [4.3] + [4.4]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3 634 883,97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17 190 044,90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2 175 508,49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14 536,41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10 065,13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4 857 718,00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6 483 806,00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3 575 000,00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5 030,00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5 030,00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19 270 375,18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10 666 998,00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16 816 748,00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16 409 900,00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15 756 000,00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14 827 878,00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13 365 769,00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13 058 780,00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12 998 447,00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13 520 272,00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14 289 046,00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14 151 484,00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F672B7" w:rsidTr="00445F96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Rozchody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3714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Spłaty rat kapitałowych kredytów i pożyczek oraz wykup papierów wartościowych</w:t>
            </w:r>
          </w:p>
        </w:tc>
        <w:tc>
          <w:tcPr>
            <w:tcW w:w="247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Inne rozchody niezwiązane ze spłatą długu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159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przypadających na dany rok kwot ustawowych wyłączeń innych niż określone w art. 243 ustawy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5.2</w:t>
            </w:r>
          </w:p>
        </w:tc>
      </w:tr>
      <w:tr w:rsidR="00F672B7" w:rsidTr="00445F96">
        <w:trPr>
          <w:trHeight w:hRule="exact" w:val="35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[5.1] + [5.2]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[5.1.1.1] + [5.1.1.2] + [5.1.1.3]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3 580 030,00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3 580 030,00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11 201 780,18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11 201 780,18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4 861 171,00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552 026,37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4 309 144,63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331"/>
        <w:gridCol w:w="3004"/>
        <w:gridCol w:w="22"/>
        <w:gridCol w:w="2757"/>
        <w:gridCol w:w="22"/>
        <w:gridCol w:w="2883"/>
      </w:tblGrid>
      <w:tr w:rsidR="00F672B7" w:rsidTr="00445F96">
        <w:trPr>
          <w:trHeight w:hRule="exact" w:val="460"/>
        </w:trPr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Relacja zrównoważenia wydatków bieżących, o której mowa w art. 242 ustawy</w:t>
            </w:r>
          </w:p>
        </w:tc>
      </w:tr>
      <w:tr w:rsidR="00F672B7" w:rsidTr="00445F96">
        <w:trPr>
          <w:trHeight w:hRule="exact" w:val="1820"/>
        </w:trPr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Różnica między dochodami bieżącymi, skorygowanymi o środki     a wydatkami bieżącymi, pomniejszonymi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o wydatki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</w:t>
            </w:r>
          </w:p>
        </w:tc>
      </w:tr>
      <w:tr w:rsidR="00F672B7" w:rsidTr="00445F96">
        <w:trPr>
          <w:trHeight w:hRule="exact" w:val="35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[1.1] - [2.1]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[1.1] + [4.1] + [4.2] - ([2.1] - [2.1.2])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104 974 340,98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7 794 997,72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9 970 506,21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13 387 957,00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15 649 665,00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12 254 665,00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14 516 373,00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92 421 631,53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13 252 208,00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13 252 208,00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81 219 851,35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25 860 375,18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25 860 375,18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71 160 859,55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22 856 998,00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22 856 998,00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61 101 867,75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24 206 748,00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24 206 748,00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51 092 875,95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26 134 900,00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26 134 900,00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41 703 884,15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27 346 000,00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27 346 000,00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33 508 220,35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30 317 878,00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30 317 878,00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25 908 487,86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27 555 769,00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27 555 769,00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27 748 780,00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27 748 780,00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14 400 000,00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26 788 447,00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26 788 447,00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25 920 272,00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25 920 272,00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25 289 046,00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25 289 046,00</w:t>
            </w:r>
          </w:p>
        </w:tc>
      </w:tr>
      <w:tr w:rsidR="00F672B7" w:rsidTr="00445F9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24 351 484,00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24 351 484,00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F672B7" w:rsidTr="00445F9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Wskaźnik spłaty zobowiązań</w:t>
            </w:r>
          </w:p>
        </w:tc>
      </w:tr>
      <w:tr w:rsidR="00F672B7" w:rsidTr="00445F96">
        <w:trPr>
          <w:trHeight w:hRule="exact" w:val="205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Dopuszczalny wskaźnik spłaty zobowiązań określony w art. 243 ustawy, po uwzględnieniu ustawowych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 xml:space="preserve">wyłączeń,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9.7.1</w:t>
            </w:r>
          </w:p>
        </w:tc>
      </w:tr>
      <w:tr w:rsidR="00F672B7" w:rsidTr="00445F96">
        <w:trPr>
          <w:trHeight w:hRule="exact" w:val="35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([2.1.1.] + [2.1.3.1] + [5.1] ) / [1]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6"/>
                <w:szCs w:val="6"/>
              </w:rPr>
              <w:t>(([2.1.1] - [2.1.1.1])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 xml:space="preserve"> + ([2.1.3.1] - [2.1.3.1.1] - [2.1.3.1.2]) 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 xml:space="preserve">+ ([5.1] - [5.1.1]) ) 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>/ ([1] - [15.1.1])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6"/>
                <w:szCs w:val="6"/>
              </w:rPr>
              <w:t>(([2.1.1]-[2.1.1.1]) + ([2.1.3.1]-[2.1.3.1.1]-[2.1.3.1.2])+([5.1]-[5.1.1])+[9.5]) /([1]-[15.1.1])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(([1.1] - [15.1.1])+[1.2.1] - ([2.1]-[2.1.2]-[15.2]))/ ([1]-[15.1.1])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średnia z trzech poprzednich lat [9.5]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średnia z trzech poprzednich lat [9.5]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[9.6] – [9.4]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[9.6.1] – [9.4] 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5,20%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6,37%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11,79%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5,63%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8,38%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5,22%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11,57%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11,03%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11,03%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12,77%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11,45%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11,45%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11,53%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11,34%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10,23%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11,21%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11,21%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9,28%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10,26%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10,26%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F672B7" w:rsidTr="00445F96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Informacje uzupełniające o wybranych rodzajach wydatków budżetowych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Spłaty kredytów, pożyczek i wykup papierów wartościowych 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związane z funkcjonowaniem organów jednostki samorządu terytorialnego 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Nowe wydatki inwestycyjne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majątkowe w formie dotacji </w:t>
            </w:r>
          </w:p>
        </w:tc>
      </w:tr>
      <w:tr w:rsidR="00F672B7" w:rsidTr="00445F96">
        <w:trPr>
          <w:trHeight w:hRule="exact" w:val="182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11.6</w:t>
            </w:r>
          </w:p>
        </w:tc>
      </w:tr>
      <w:tr w:rsidR="00F672B7" w:rsidTr="00445F96">
        <w:trPr>
          <w:trHeight w:hRule="exact" w:val="35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[11.3.1] + [11.3.2]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77 355 116,41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12 880 450,19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7 549 773,00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7 466 406,87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415 000,00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609 028,34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3 575 000,00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3 579 455,10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86 212 457,00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15 695 313,00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11 473 771,00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11 473 771,00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10 604 108,00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4 637 800,00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19 270 375,18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7 337 331,00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7 253 771,00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7 253 771,00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10 666 998,00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7 163 739,00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16 816 748,00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7 132 628,00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16 409 900,00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7 051 205,00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15 756 000,00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6 399 469,00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14 827 878,00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5 174 087,00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13 365 769,00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4 529 913,00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13 058 780,00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4 570 970,00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12 998 447,00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2 999 458,00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13 520 272,00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3 031 102,00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14 289 046,00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2 597 413,00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14 151 484,00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Pr="00821FDE" w:rsidRDefault="009E09E1" w:rsidP="00654B4F">
      <w:pPr>
        <w:rPr>
          <w:rFonts w:ascii="Arial" w:hAnsi="Arial" w:cs="Arial"/>
          <w:sz w:val="14"/>
          <w:szCs w:val="14"/>
          <w:lang w:val="pl-PL"/>
        </w:rPr>
      </w:pPr>
      <w:r w:rsidRPr="00821FDE">
        <w:rPr>
          <w:rFonts w:ascii="Arial" w:hAnsi="Arial" w:cs="Arial"/>
          <w:sz w:val="14"/>
          <w:szCs w:val="14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134"/>
        <w:gridCol w:w="1418"/>
        <w:gridCol w:w="1417"/>
        <w:gridCol w:w="1276"/>
      </w:tblGrid>
      <w:tr w:rsidR="009E09E1" w:rsidRPr="00AC3C7A" w:rsidTr="00654B4F">
        <w:tc>
          <w:tcPr>
            <w:tcW w:w="2376" w:type="dxa"/>
          </w:tcPr>
          <w:p w:rsidR="009E09E1" w:rsidRPr="003F55E6" w:rsidRDefault="009E09E1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</w:tcPr>
          <w:p w:rsidR="009E09E1" w:rsidRPr="00AC3C7A" w:rsidRDefault="009E09E1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2014</w:t>
            </w:r>
          </w:p>
        </w:tc>
        <w:tc>
          <w:tcPr>
            <w:tcW w:w="1418" w:type="dxa"/>
          </w:tcPr>
          <w:p w:rsidR="009E09E1" w:rsidRPr="00AC3C7A" w:rsidRDefault="009E09E1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2015</w:t>
            </w:r>
          </w:p>
        </w:tc>
        <w:tc>
          <w:tcPr>
            <w:tcW w:w="1417" w:type="dxa"/>
          </w:tcPr>
          <w:p w:rsidR="009E09E1" w:rsidRPr="00AC3C7A" w:rsidRDefault="009E09E1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2016</w:t>
            </w:r>
          </w:p>
        </w:tc>
        <w:tc>
          <w:tcPr>
            <w:tcW w:w="1276" w:type="dxa"/>
          </w:tcPr>
          <w:p w:rsidR="009E09E1" w:rsidRPr="00AC3C7A" w:rsidRDefault="009E09E1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2017</w:t>
            </w:r>
          </w:p>
        </w:tc>
      </w:tr>
      <w:tr w:rsidR="009E09E1" w:rsidRPr="00AC3C7A" w:rsidTr="00654B4F">
        <w:tc>
          <w:tcPr>
            <w:tcW w:w="2376" w:type="dxa"/>
          </w:tcPr>
          <w:p w:rsidR="009E09E1" w:rsidRPr="00AC3C7A" w:rsidRDefault="009E09E1" w:rsidP="00654B4F">
            <w:pPr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Nagrody jubileuszowe</w:t>
            </w:r>
          </w:p>
        </w:tc>
        <w:tc>
          <w:tcPr>
            <w:tcW w:w="1134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218 173</w:t>
            </w:r>
          </w:p>
        </w:tc>
        <w:tc>
          <w:tcPr>
            <w:tcW w:w="1418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135 857</w:t>
            </w:r>
          </w:p>
        </w:tc>
        <w:tc>
          <w:tcPr>
            <w:tcW w:w="1417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181 056</w:t>
            </w:r>
          </w:p>
        </w:tc>
        <w:tc>
          <w:tcPr>
            <w:tcW w:w="1276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210 051</w:t>
            </w:r>
          </w:p>
        </w:tc>
      </w:tr>
      <w:tr w:rsidR="009E09E1" w:rsidRPr="00AC3C7A" w:rsidTr="00654B4F">
        <w:tc>
          <w:tcPr>
            <w:tcW w:w="2376" w:type="dxa"/>
          </w:tcPr>
          <w:p w:rsidR="009E09E1" w:rsidRPr="00AC3C7A" w:rsidRDefault="009E09E1" w:rsidP="00654B4F">
            <w:pPr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Odprawy emerytalno-rentowe</w:t>
            </w:r>
          </w:p>
        </w:tc>
        <w:tc>
          <w:tcPr>
            <w:tcW w:w="1134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284 376</w:t>
            </w:r>
          </w:p>
        </w:tc>
        <w:tc>
          <w:tcPr>
            <w:tcW w:w="1418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200 108</w:t>
            </w:r>
          </w:p>
        </w:tc>
        <w:tc>
          <w:tcPr>
            <w:tcW w:w="1417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E09E1" w:rsidRPr="00AC3C7A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377"/>
        <w:gridCol w:w="1377"/>
        <w:gridCol w:w="1380"/>
        <w:gridCol w:w="1377"/>
        <w:gridCol w:w="1377"/>
        <w:gridCol w:w="1380"/>
        <w:gridCol w:w="1377"/>
        <w:gridCol w:w="1377"/>
        <w:gridCol w:w="1501"/>
      </w:tblGrid>
      <w:tr w:rsidR="00F672B7" w:rsidTr="00445F9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majątkowe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bieżące na realizację programu, projektu lub zadania wynikające wyłącznie z zawartych umów z podmiotem dysponującym środkami, o których mowa w art. 5 ust. 1 pkt 2 ustawy 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finansowane środkami określonymi w art. 5 ust. 1 pkt 2 ustawy </w:t>
            </w: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159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środki określone w art. 5 ust. 1 pkt 2 ustawy wynikające wyłącznie z  zawartych umów na realizację programu, projektu lub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12.3.1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12.3.2</w:t>
            </w:r>
          </w:p>
        </w:tc>
      </w:tr>
      <w:tr w:rsidR="00F672B7" w:rsidTr="00445F96">
        <w:trPr>
          <w:trHeight w:hRule="exact" w:val="35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987 554,00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4 525 562,00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866 997,98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1 732 460,64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1 541 168,09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612 348,00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51 142,00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51 142,00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51 142,00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242 300,00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133 554,00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133 554,00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F672B7" w:rsidTr="00445F96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majątkowe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na wkład krajowy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F672B7" w:rsidTr="00445F96">
        <w:trPr>
          <w:trHeight w:hRule="exact" w:val="182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 związku z już zawartą umową na realizację programu, projektu lub zadania 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12.7.1</w:t>
            </w:r>
          </w:p>
        </w:tc>
      </w:tr>
      <w:tr w:rsidR="00F672B7" w:rsidTr="00445F96">
        <w:trPr>
          <w:trHeight w:hRule="exact" w:val="35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4 916 689,34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15 505 445,00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23 733 757,90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14 912 944,41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14 912 944,41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F672B7" w:rsidTr="00445F96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Kwoty dotyczące przejęcia i spłaty zobowiązań po samodzielnych publicznych zakładach opieki zdrowotnej oraz pokrycia ujemnego wyniku 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 na pokrycie ujemnego wyniku finansowego samodzielnego publicznego zakładu opieki zdrowotnej</w:t>
            </w:r>
          </w:p>
        </w:tc>
      </w:tr>
      <w:tr w:rsidR="00F672B7" w:rsidTr="00445F96">
        <w:trPr>
          <w:trHeight w:hRule="exact" w:val="182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13.7</w:t>
            </w:r>
          </w:p>
        </w:tc>
      </w:tr>
      <w:tr w:rsidR="00F672B7" w:rsidTr="00445F96">
        <w:trPr>
          <w:trHeight w:hRule="exact" w:val="35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B14EAE" w:rsidRDefault="00B14EAE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467"/>
        <w:gridCol w:w="1349"/>
        <w:gridCol w:w="1349"/>
        <w:gridCol w:w="1349"/>
        <w:gridCol w:w="1349"/>
        <w:gridCol w:w="42"/>
        <w:gridCol w:w="1307"/>
        <w:gridCol w:w="1349"/>
        <w:gridCol w:w="1349"/>
        <w:gridCol w:w="3007"/>
      </w:tblGrid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366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Dane uzupełniające o długu i jego spłacie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48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Kwota długu, którego planowana spłata dokona się z wydatków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48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zmniejszające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dług</w:t>
            </w:r>
          </w:p>
        </w:tc>
        <w:tc>
          <w:tcPr>
            <w:tcW w:w="1443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8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Wynik operacji niekasowych wpływających na kwotę długu ( m.in. umorzenia, różnice kursowe)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1820"/>
        </w:trPr>
        <w:tc>
          <w:tcPr>
            <w:tcW w:w="52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spłata zobowiązań wymagalnych z lat poprzednich, innych niż w poz. 14.3.3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wypłaty z tytułu wymagalnych poręczeń i gwarancji</w:t>
            </w:r>
          </w:p>
        </w:tc>
        <w:tc>
          <w:tcPr>
            <w:tcW w:w="48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14.3.1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14.3.2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14.3.3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14.4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35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2013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2015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672B7" w:rsidTr="00445F96">
        <w:trPr>
          <w:gridBefore w:val="1"/>
          <w:gridAfter w:val="1"/>
          <w:wBefore w:w="38" w:type="pct"/>
          <w:wAfter w:w="1073" w:type="pct"/>
          <w:trHeight w:hRule="exact" w:val="230"/>
        </w:trPr>
        <w:tc>
          <w:tcPr>
            <w:tcW w:w="5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672B7" w:rsidRDefault="00F672B7" w:rsidP="00445F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09E1" w:rsidTr="00445F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00" w:type="pct"/>
            <w:gridSpan w:val="7"/>
          </w:tcPr>
          <w:p w:rsidR="009E09E1" w:rsidRPr="00F51A50" w:rsidRDefault="009E09E1" w:rsidP="0003663D"/>
        </w:tc>
        <w:tc>
          <w:tcPr>
            <w:tcW w:w="2500" w:type="pct"/>
            <w:gridSpan w:val="4"/>
          </w:tcPr>
          <w:p w:rsidR="009E09E1" w:rsidRPr="00CC378B" w:rsidRDefault="009E09E1" w:rsidP="00A600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lastRenderedPageBreak/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9E09E1" w:rsidRDefault="009E09E1" w:rsidP="00816B8C">
      <w:pPr>
        <w:rPr>
          <w:lang w:val="pl-PL"/>
        </w:rPr>
      </w:pPr>
      <w:r w:rsidRPr="00F242F2">
        <w:rPr>
          <w:lang w:val="pl-PL"/>
        </w:rPr>
        <w:tab/>
        <w:t>Dochody ze znaczących dla budżetu źródeł w</w:t>
      </w:r>
      <w:r>
        <w:rPr>
          <w:lang w:val="pl-PL"/>
        </w:rPr>
        <w:t xml:space="preserve"> w</w:t>
      </w:r>
      <w:r w:rsidRPr="00F242F2">
        <w:rPr>
          <w:lang w:val="pl-PL"/>
        </w:rPr>
        <w:t>w</w:t>
      </w:r>
      <w:r>
        <w:rPr>
          <w:lang w:val="pl-PL"/>
        </w:rPr>
        <w:t>.</w:t>
      </w:r>
      <w:r w:rsidRPr="00F242F2">
        <w:rPr>
          <w:lang w:val="pl-PL"/>
        </w:rPr>
        <w:t xml:space="preserve"> okresie przedstawiają się następująco:</w:t>
      </w:r>
    </w:p>
    <w:p w:rsidR="00A36EBF" w:rsidRDefault="00A36EBF" w:rsidP="00816B8C">
      <w:pPr>
        <w:rPr>
          <w:lang w:val="pl-PL"/>
        </w:rPr>
      </w:pPr>
    </w:p>
    <w:p w:rsidR="00A36EBF" w:rsidRDefault="00A36EBF" w:rsidP="00A36EBF">
      <w:pPr>
        <w:numPr>
          <w:ilvl w:val="0"/>
          <w:numId w:val="18"/>
        </w:numPr>
        <w:rPr>
          <w:u w:val="single"/>
          <w:lang w:val="pl-PL"/>
        </w:rPr>
      </w:pPr>
      <w:r w:rsidRPr="00A36EBF">
        <w:rPr>
          <w:u w:val="single"/>
          <w:lang w:val="pl-PL"/>
        </w:rPr>
        <w:t>Udziały w podatku dochodowym od osób fizycznych:</w:t>
      </w:r>
    </w:p>
    <w:tbl>
      <w:tblPr>
        <w:tblW w:w="36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660"/>
        <w:gridCol w:w="1047"/>
      </w:tblGrid>
      <w:tr w:rsidR="00B65728" w:rsidRPr="00F9540C" w:rsidTr="00B65728">
        <w:trPr>
          <w:trHeight w:val="6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Lata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8" w:rsidRPr="00F9540C" w:rsidRDefault="0090316B" w:rsidP="0003663D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Udziały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wskaźnik wzrostu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728" w:rsidRPr="00F9540C" w:rsidRDefault="00B65728" w:rsidP="0003663D">
            <w:pPr>
              <w:jc w:val="left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%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55 346 513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100,</w:t>
            </w:r>
            <w:r>
              <w:rPr>
                <w:lang w:val="pl-PL" w:eastAsia="pl-PL"/>
              </w:rPr>
              <w:t>0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56 287 000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10</w:t>
            </w:r>
            <w:r>
              <w:rPr>
                <w:lang w:val="pl-PL" w:eastAsia="pl-PL"/>
              </w:rPr>
              <w:t>1,7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57 300 000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101,8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58 732 500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60 200 </w:t>
            </w:r>
            <w:r w:rsidRPr="00F9540C">
              <w:rPr>
                <w:lang w:val="pl-PL" w:eastAsia="pl-PL"/>
              </w:rPr>
              <w:t>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61 705</w:t>
            </w:r>
            <w:r w:rsidRPr="00F9540C">
              <w:rPr>
                <w:lang w:val="pl-PL" w:eastAsia="pl-PL"/>
              </w:rPr>
              <w:t xml:space="preserve">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63 247</w:t>
            </w:r>
            <w:r w:rsidRPr="00F9540C">
              <w:rPr>
                <w:lang w:val="pl-PL" w:eastAsia="pl-PL"/>
              </w:rPr>
              <w:t xml:space="preserve"> </w:t>
            </w:r>
            <w:r>
              <w:rPr>
                <w:lang w:val="pl-PL" w:eastAsia="pl-PL"/>
              </w:rPr>
              <w:t>6</w:t>
            </w:r>
            <w:r w:rsidRPr="00F9540C">
              <w:rPr>
                <w:lang w:val="pl-PL" w:eastAsia="pl-PL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B65728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64 828 7</w:t>
            </w:r>
            <w:r w:rsidRPr="00F9540C">
              <w:rPr>
                <w:lang w:val="pl-PL" w:eastAsia="pl-PL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66 449 000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68 110 </w:t>
            </w:r>
            <w:r w:rsidRPr="00F9540C">
              <w:rPr>
                <w:lang w:val="pl-PL" w:eastAsia="pl-PL"/>
              </w:rPr>
              <w:t>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732779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6</w:t>
            </w:r>
            <w:r w:rsidR="00732779">
              <w:rPr>
                <w:lang w:val="pl-PL" w:eastAsia="pl-PL"/>
              </w:rPr>
              <w:t>9</w:t>
            </w:r>
            <w:r>
              <w:rPr>
                <w:lang w:val="pl-PL" w:eastAsia="pl-PL"/>
              </w:rPr>
              <w:t> 812 750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71 558 </w:t>
            </w:r>
            <w:r w:rsidRPr="00F9540C">
              <w:rPr>
                <w:lang w:val="pl-PL" w:eastAsia="pl-PL"/>
              </w:rPr>
              <w:t>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B65728" w:rsidRPr="00F9540C" w:rsidTr="00B65728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B65728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73 346 000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728" w:rsidRPr="00F9540C" w:rsidRDefault="00D3332D" w:rsidP="00B65728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</w:tbl>
    <w:p w:rsidR="00D3332D" w:rsidRPr="00D3332D" w:rsidRDefault="00D3332D" w:rsidP="00816B8C">
      <w:pPr>
        <w:rPr>
          <w:caps/>
          <w:lang w:val="pl-PL"/>
        </w:rPr>
      </w:pPr>
    </w:p>
    <w:p w:rsidR="003A1C75" w:rsidRDefault="003A1C75" w:rsidP="00816B8C">
      <w:pPr>
        <w:rPr>
          <w:lang w:val="pl-PL"/>
        </w:rPr>
      </w:pPr>
      <w:r>
        <w:rPr>
          <w:lang w:val="pl-PL"/>
        </w:rPr>
        <w:t>W</w:t>
      </w:r>
      <w:r w:rsidRPr="003A1C75">
        <w:rPr>
          <w:lang w:val="pl-PL"/>
        </w:rPr>
        <w:t xml:space="preserve"> p</w:t>
      </w:r>
      <w:r>
        <w:rPr>
          <w:lang w:val="pl-PL"/>
        </w:rPr>
        <w:t>rognozie założono wzrost wpływów z tytułu udziałów w podatku dochodowym od osób fizycznych odpowiadający dynamice cen towarów i usług określon</w:t>
      </w:r>
      <w:r w:rsidR="0009691A">
        <w:rPr>
          <w:lang w:val="pl-PL"/>
        </w:rPr>
        <w:t>ej</w:t>
      </w:r>
      <w:r>
        <w:rPr>
          <w:lang w:val="pl-PL"/>
        </w:rPr>
        <w:t xml:space="preserve"> przez Ministra Finansów.</w:t>
      </w:r>
    </w:p>
    <w:p w:rsidR="003A1C75" w:rsidRDefault="003A1C75" w:rsidP="00816B8C">
      <w:pPr>
        <w:rPr>
          <w:lang w:val="pl-PL"/>
        </w:rPr>
      </w:pPr>
    </w:p>
    <w:p w:rsidR="003A1C75" w:rsidRDefault="003A1C75" w:rsidP="00816B8C">
      <w:pPr>
        <w:numPr>
          <w:ilvl w:val="0"/>
          <w:numId w:val="18"/>
        </w:numPr>
        <w:rPr>
          <w:u w:val="single"/>
          <w:lang w:val="pl-PL"/>
        </w:rPr>
      </w:pPr>
      <w:r w:rsidRPr="003A1C75">
        <w:rPr>
          <w:u w:val="single"/>
          <w:lang w:val="pl-PL"/>
        </w:rPr>
        <w:t>Udziały w podatku dochodowym od osób prawnych</w:t>
      </w:r>
    </w:p>
    <w:p w:rsidR="003A1C75" w:rsidRDefault="003A1C75" w:rsidP="003A1C75">
      <w:pPr>
        <w:rPr>
          <w:lang w:val="pl-PL"/>
        </w:rPr>
      </w:pPr>
      <w:r w:rsidRPr="003A1C75">
        <w:rPr>
          <w:lang w:val="pl-PL"/>
        </w:rPr>
        <w:t>Gminy</w:t>
      </w:r>
      <w:r>
        <w:rPr>
          <w:lang w:val="pl-PL"/>
        </w:rPr>
        <w:t xml:space="preserve"> otrzymują 6,71% wpłat z tytułu podatku dochodowego, od osób prawnych prowadzących działalność gospodarczą na ich terenie. Szacuje się następujące wpływy:</w:t>
      </w:r>
    </w:p>
    <w:tbl>
      <w:tblPr>
        <w:tblW w:w="36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660"/>
        <w:gridCol w:w="1047"/>
      </w:tblGrid>
      <w:tr w:rsidR="003A1C75" w:rsidRPr="00F9540C" w:rsidTr="003A1C75">
        <w:trPr>
          <w:trHeight w:val="6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Lata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75" w:rsidRPr="00F9540C" w:rsidRDefault="0090316B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Udziały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wskaźnik wzrostu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75" w:rsidRPr="00F9540C" w:rsidRDefault="003A1C75" w:rsidP="003A1C75">
            <w:pPr>
              <w:jc w:val="left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%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2 100 000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100,0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2 000 000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95,2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2 050 000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102,5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2 100 000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102,4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2 150 000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102,4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2 200 000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102,4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2 250 000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102,3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2 300 000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102,2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2 350 000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102,2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2 400 000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102,1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2 450 000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102,1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2 500 000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102,0</w:t>
            </w:r>
          </w:p>
        </w:tc>
      </w:tr>
      <w:tr w:rsidR="003A1C75" w:rsidRPr="00F9540C" w:rsidTr="003A1C75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2 550 000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C75" w:rsidRPr="00F9540C" w:rsidRDefault="003A1C75" w:rsidP="003A1C75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102,0</w:t>
            </w:r>
          </w:p>
        </w:tc>
      </w:tr>
    </w:tbl>
    <w:p w:rsidR="003A1C75" w:rsidRPr="003A1C75" w:rsidRDefault="003A1C75" w:rsidP="003A1C75">
      <w:pPr>
        <w:rPr>
          <w:u w:val="single"/>
          <w:lang w:val="pl-PL"/>
        </w:rPr>
      </w:pPr>
    </w:p>
    <w:p w:rsidR="003A1C75" w:rsidRDefault="003A1C75" w:rsidP="00816B8C">
      <w:pPr>
        <w:rPr>
          <w:lang w:val="pl-PL"/>
        </w:rPr>
      </w:pPr>
    </w:p>
    <w:p w:rsidR="009E09E1" w:rsidRPr="00251449" w:rsidRDefault="0009691A" w:rsidP="00816B8C">
      <w:pPr>
        <w:numPr>
          <w:ilvl w:val="0"/>
          <w:numId w:val="18"/>
        </w:numPr>
        <w:rPr>
          <w:u w:val="single"/>
          <w:lang w:val="pl-PL"/>
        </w:rPr>
      </w:pPr>
      <w:r>
        <w:rPr>
          <w:u w:val="single"/>
          <w:lang w:val="pl-PL"/>
        </w:rPr>
        <w:t>Podatek od nieruchomości</w:t>
      </w:r>
    </w:p>
    <w:p w:rsidR="009E09E1" w:rsidRDefault="009E09E1" w:rsidP="00816B8C">
      <w:pPr>
        <w:rPr>
          <w:lang w:val="pl-PL"/>
        </w:rPr>
      </w:pPr>
      <w:r w:rsidRPr="00F242F2">
        <w:rPr>
          <w:lang w:val="pl-PL"/>
        </w:rPr>
        <w:t xml:space="preserve">Jest to główne źródło dochodów własnych. Prognozowane kwoty </w:t>
      </w:r>
      <w:r w:rsidR="00251449">
        <w:rPr>
          <w:lang w:val="pl-PL"/>
        </w:rPr>
        <w:t>ustalono w oparciu o posiadan</w:t>
      </w:r>
      <w:r w:rsidR="00726999">
        <w:rPr>
          <w:lang w:val="pl-PL"/>
        </w:rPr>
        <w:t>y</w:t>
      </w:r>
      <w:r w:rsidR="00251449">
        <w:rPr>
          <w:lang w:val="pl-PL"/>
        </w:rPr>
        <w:t xml:space="preserve"> w 2015 roku podstawę opodatkowania oraz prognozowany wzrost cen towarów i usług. Przedstawiają się one następująco:</w:t>
      </w:r>
    </w:p>
    <w:tbl>
      <w:tblPr>
        <w:tblW w:w="36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660"/>
        <w:gridCol w:w="1047"/>
      </w:tblGrid>
      <w:tr w:rsidR="00251449" w:rsidRPr="00F9540C" w:rsidTr="00A0710F">
        <w:trPr>
          <w:trHeight w:val="6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49" w:rsidRPr="00F9540C" w:rsidRDefault="0090316B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L</w:t>
            </w:r>
            <w:r w:rsidR="00251449" w:rsidRPr="00F9540C">
              <w:rPr>
                <w:lang w:val="pl-PL" w:eastAsia="pl-PL"/>
              </w:rPr>
              <w:t>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49" w:rsidRPr="00F9540C" w:rsidRDefault="0090316B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Dochody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wskaźnik wzrostu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449" w:rsidRPr="00F9540C" w:rsidRDefault="00251449" w:rsidP="00A0710F">
            <w:pPr>
              <w:jc w:val="left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%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39 219 987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100,0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37 000 000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94,3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37 576 000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101,6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38 293 000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101,9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39 250 000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102,4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39 763 000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101,3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40 854 000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102,7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41 258 000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101,0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42 017 000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101,8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42 786 000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101,8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43 563 000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101,8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44 358 000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101,8</w:t>
            </w:r>
          </w:p>
        </w:tc>
      </w:tr>
      <w:tr w:rsidR="00251449" w:rsidRPr="00F9540C" w:rsidTr="00A0710F">
        <w:trPr>
          <w:trHeight w:val="22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45 136 000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449" w:rsidRPr="00F9540C" w:rsidRDefault="00251449" w:rsidP="00A0710F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101,8</w:t>
            </w:r>
          </w:p>
        </w:tc>
      </w:tr>
    </w:tbl>
    <w:p w:rsidR="00251449" w:rsidRDefault="00251449" w:rsidP="00816B8C">
      <w:pPr>
        <w:rPr>
          <w:lang w:val="pl-PL"/>
        </w:rPr>
      </w:pPr>
    </w:p>
    <w:p w:rsidR="00251449" w:rsidRPr="00251449" w:rsidRDefault="00251449" w:rsidP="00251449">
      <w:pPr>
        <w:numPr>
          <w:ilvl w:val="0"/>
          <w:numId w:val="18"/>
        </w:numPr>
        <w:rPr>
          <w:u w:val="single"/>
          <w:lang w:val="pl-PL"/>
        </w:rPr>
      </w:pPr>
      <w:r>
        <w:rPr>
          <w:u w:val="single"/>
          <w:lang w:val="pl-PL"/>
        </w:rPr>
        <w:t>Opłata śmieciowa</w:t>
      </w:r>
    </w:p>
    <w:p w:rsidR="00251449" w:rsidRDefault="00251449" w:rsidP="00816B8C">
      <w:pPr>
        <w:rPr>
          <w:lang w:val="pl-PL"/>
        </w:rPr>
      </w:pPr>
      <w:r>
        <w:rPr>
          <w:lang w:val="pl-PL"/>
        </w:rPr>
        <w:t>Stanowi dochód budżetu w kwocie 10 300 000 zł w latach 2016 – 2020 zapisany w § 0490 w rozdziale 90002 – Gospodarka odpadami.</w:t>
      </w:r>
    </w:p>
    <w:p w:rsidR="00251449" w:rsidRDefault="00251449" w:rsidP="00816B8C">
      <w:pPr>
        <w:rPr>
          <w:lang w:val="pl-PL"/>
        </w:rPr>
      </w:pPr>
    </w:p>
    <w:p w:rsidR="00251449" w:rsidRDefault="00251449" w:rsidP="00251449">
      <w:pPr>
        <w:numPr>
          <w:ilvl w:val="0"/>
          <w:numId w:val="18"/>
        </w:numPr>
        <w:rPr>
          <w:u w:val="single"/>
          <w:lang w:val="pl-PL"/>
        </w:rPr>
      </w:pPr>
      <w:r>
        <w:rPr>
          <w:u w:val="single"/>
          <w:lang w:val="pl-PL"/>
        </w:rPr>
        <w:t>Dochody z najmu i dzierżaw</w:t>
      </w:r>
      <w:r w:rsidR="0009691A">
        <w:rPr>
          <w:u w:val="single"/>
          <w:lang w:val="pl-PL"/>
        </w:rPr>
        <w:t>y</w:t>
      </w:r>
    </w:p>
    <w:p w:rsidR="00251449" w:rsidRDefault="00251449" w:rsidP="00251449">
      <w:pPr>
        <w:rPr>
          <w:lang w:val="pl-PL"/>
        </w:rPr>
      </w:pPr>
      <w:r>
        <w:rPr>
          <w:lang w:val="pl-PL"/>
        </w:rPr>
        <w:t>Nie zakłada się wzrostu w latach 2017</w:t>
      </w:r>
      <w:r w:rsidR="0009691A">
        <w:rPr>
          <w:lang w:val="pl-PL"/>
        </w:rPr>
        <w:t>-</w:t>
      </w:r>
      <w:r>
        <w:rPr>
          <w:lang w:val="pl-PL"/>
        </w:rPr>
        <w:t>2020, natomiast w latach 2021</w:t>
      </w:r>
      <w:r w:rsidR="0009691A">
        <w:rPr>
          <w:lang w:val="pl-PL"/>
        </w:rPr>
        <w:t>-</w:t>
      </w:r>
      <w:r>
        <w:rPr>
          <w:lang w:val="pl-PL"/>
        </w:rPr>
        <w:t>2028 założono średnioroczny wzrost poniżej 1%.</w:t>
      </w:r>
    </w:p>
    <w:p w:rsidR="00251449" w:rsidRPr="00251449" w:rsidRDefault="00251449" w:rsidP="00251449">
      <w:pPr>
        <w:rPr>
          <w:lang w:val="pl-PL"/>
        </w:rPr>
      </w:pPr>
    </w:p>
    <w:p w:rsidR="00251449" w:rsidRDefault="00481A82" w:rsidP="00251449">
      <w:pPr>
        <w:numPr>
          <w:ilvl w:val="0"/>
          <w:numId w:val="18"/>
        </w:numPr>
        <w:rPr>
          <w:u w:val="single"/>
          <w:lang w:val="pl-PL"/>
        </w:rPr>
      </w:pPr>
      <w:r>
        <w:rPr>
          <w:u w:val="single"/>
          <w:lang w:val="pl-PL"/>
        </w:rPr>
        <w:t>Dochody ze sprzedaży mienia</w:t>
      </w:r>
    </w:p>
    <w:p w:rsidR="00481A82" w:rsidRDefault="00481A82" w:rsidP="00481A82">
      <w:pPr>
        <w:rPr>
          <w:lang w:val="pl-PL"/>
        </w:rPr>
      </w:pPr>
      <w:r>
        <w:rPr>
          <w:lang w:val="pl-PL"/>
        </w:rPr>
        <w:t xml:space="preserve">Na 2016 rok założono wpływy w kwocie 3 149 700 zł, co stanowi 45,6 % przewidywanych dochodów 2015 r. Dochody te uzyskane zostaną m. in. ze zbycia nieruchomości gruntowych (1,5 mln zł) oraz ze zbycia lokali mieszkalnych (1,6 mln zł). Miasto posiada w zasobie </w:t>
      </w:r>
      <w:r w:rsidR="0090316B">
        <w:rPr>
          <w:lang w:val="pl-PL"/>
        </w:rPr>
        <w:t xml:space="preserve">              56,8 ha</w:t>
      </w:r>
      <w:r>
        <w:rPr>
          <w:lang w:val="pl-PL"/>
        </w:rPr>
        <w:t xml:space="preserve"> gruntów oraz 1 706 lokali, które mogą być przedmiotem obrotu. W latach 2017</w:t>
      </w:r>
      <w:r w:rsidR="0009691A">
        <w:rPr>
          <w:lang w:val="pl-PL"/>
        </w:rPr>
        <w:t>-</w:t>
      </w:r>
      <w:r>
        <w:rPr>
          <w:lang w:val="pl-PL"/>
        </w:rPr>
        <w:t>2021 założono wpływy z tego tytułu na poziomie od 1,8 mln zł, a w latach 2022 – 2028 od 1,5 mln zł do 0,9 mln zł. Dochody te posiadają tendencję malejącą.</w:t>
      </w:r>
    </w:p>
    <w:p w:rsidR="00481A82" w:rsidRPr="00481A82" w:rsidRDefault="00481A82" w:rsidP="00481A82">
      <w:pPr>
        <w:rPr>
          <w:lang w:val="pl-PL"/>
        </w:rPr>
      </w:pPr>
    </w:p>
    <w:p w:rsidR="00481A82" w:rsidRDefault="00481A82" w:rsidP="00251449">
      <w:pPr>
        <w:numPr>
          <w:ilvl w:val="0"/>
          <w:numId w:val="18"/>
        </w:numPr>
        <w:rPr>
          <w:u w:val="single"/>
          <w:lang w:val="pl-PL"/>
        </w:rPr>
      </w:pPr>
      <w:r>
        <w:rPr>
          <w:u w:val="single"/>
          <w:lang w:val="pl-PL"/>
        </w:rPr>
        <w:t>Pozostałe dochody własne jak i dotacje w prognozie zapisano na poziomie nie nasuwającym uwag, natomiast wzrost subwencji jest następujący</w:t>
      </w:r>
    </w:p>
    <w:p w:rsidR="00493B0E" w:rsidRDefault="00493B0E" w:rsidP="00493B0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602"/>
        <w:gridCol w:w="1536"/>
        <w:gridCol w:w="1536"/>
      </w:tblGrid>
      <w:tr w:rsidR="00493B0E" w:rsidTr="00A0710F">
        <w:tc>
          <w:tcPr>
            <w:tcW w:w="1535" w:type="dxa"/>
            <w:vMerge w:val="restart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Lata</w:t>
            </w:r>
          </w:p>
        </w:tc>
        <w:tc>
          <w:tcPr>
            <w:tcW w:w="6208" w:type="dxa"/>
            <w:gridSpan w:val="4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Subwencja</w:t>
            </w:r>
          </w:p>
        </w:tc>
        <w:tc>
          <w:tcPr>
            <w:tcW w:w="1536" w:type="dxa"/>
            <w:vMerge w:val="restart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Razem:</w:t>
            </w:r>
          </w:p>
        </w:tc>
      </w:tr>
      <w:tr w:rsidR="00493B0E" w:rsidTr="00493B0E">
        <w:tc>
          <w:tcPr>
            <w:tcW w:w="1535" w:type="dxa"/>
            <w:vMerge/>
          </w:tcPr>
          <w:p w:rsidR="00493B0E" w:rsidRDefault="00493B0E" w:rsidP="00493B0E">
            <w:pPr>
              <w:jc w:val="center"/>
              <w:rPr>
                <w:lang w:val="pl-PL"/>
              </w:rPr>
            </w:pP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oświatowa</w:t>
            </w:r>
          </w:p>
        </w:tc>
        <w:tc>
          <w:tcPr>
            <w:tcW w:w="1535" w:type="dxa"/>
          </w:tcPr>
          <w:p w:rsidR="00493B0E" w:rsidRPr="00493B0E" w:rsidRDefault="00493B0E" w:rsidP="00493B0E">
            <w:pPr>
              <w:jc w:val="center"/>
              <w:rPr>
                <w:sz w:val="18"/>
                <w:szCs w:val="18"/>
                <w:lang w:val="pl-PL"/>
              </w:rPr>
            </w:pPr>
            <w:r w:rsidRPr="00493B0E">
              <w:rPr>
                <w:sz w:val="18"/>
                <w:szCs w:val="18"/>
                <w:lang w:val="pl-PL"/>
              </w:rPr>
              <w:t>wskaźnik wzrostu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wyrównawcza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równoważąca</w:t>
            </w:r>
          </w:p>
        </w:tc>
        <w:tc>
          <w:tcPr>
            <w:tcW w:w="1536" w:type="dxa"/>
            <w:vMerge/>
          </w:tcPr>
          <w:p w:rsidR="00493B0E" w:rsidRDefault="00493B0E" w:rsidP="00493B0E">
            <w:pPr>
              <w:jc w:val="center"/>
              <w:rPr>
                <w:lang w:val="pl-PL"/>
              </w:rPr>
            </w:pPr>
          </w:p>
        </w:tc>
      </w:tr>
      <w:tr w:rsidR="00493B0E" w:rsidTr="00493B0E">
        <w:tc>
          <w:tcPr>
            <w:tcW w:w="1535" w:type="dxa"/>
            <w:vMerge/>
          </w:tcPr>
          <w:p w:rsidR="00493B0E" w:rsidRDefault="00493B0E" w:rsidP="00493B0E">
            <w:pPr>
              <w:jc w:val="center"/>
              <w:rPr>
                <w:lang w:val="pl-PL"/>
              </w:rPr>
            </w:pP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%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2016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42 474 312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100,0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5 632 296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3 853 468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51 960 076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2017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42 480 000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100,0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5 660 000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3 860 000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52 000 000 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2018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42 900 000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101,0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5 712 000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3 900 000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52 512 000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2019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43 098 000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100,5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5 750 000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3 950 000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52 798 000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2020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43 156 000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100,1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5 760 000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3 960 000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52 876 000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2021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43 954 000</w:t>
            </w:r>
          </w:p>
        </w:tc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101,8</w:t>
            </w:r>
          </w:p>
        </w:tc>
        <w:tc>
          <w:tcPr>
            <w:tcW w:w="1602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5 800 000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3 970 000</w:t>
            </w:r>
          </w:p>
        </w:tc>
        <w:tc>
          <w:tcPr>
            <w:tcW w:w="1536" w:type="dxa"/>
          </w:tcPr>
          <w:p w:rsidR="00493B0E" w:rsidRDefault="00493B0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53 724 000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2022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45 050 000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102,5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5 950 000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4 070 000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55 070 000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2023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46 000 000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101,7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6 000 000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4 015 000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56 015 000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2024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46 976 000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102,1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6 100 000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4 100 000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57 176 000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2025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47 964 000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102,1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6 200 000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4 200 000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58 364 000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2026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48 900 000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102,0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6 300 000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4 300 000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59 500 000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2027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50 138 000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102,5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6 450 000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4 450 000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61 038 000</w:t>
            </w:r>
          </w:p>
        </w:tc>
      </w:tr>
      <w:tr w:rsidR="00493B0E" w:rsidTr="00493B0E">
        <w:tc>
          <w:tcPr>
            <w:tcW w:w="1535" w:type="dxa"/>
          </w:tcPr>
          <w:p w:rsidR="00493B0E" w:rsidRDefault="00493B0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2028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51 259 000</w:t>
            </w:r>
          </w:p>
        </w:tc>
        <w:tc>
          <w:tcPr>
            <w:tcW w:w="1535" w:type="dxa"/>
          </w:tcPr>
          <w:p w:rsidR="00493B0E" w:rsidRDefault="00C6773E" w:rsidP="00493B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102,2</w:t>
            </w:r>
          </w:p>
        </w:tc>
        <w:tc>
          <w:tcPr>
            <w:tcW w:w="1602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6 500 000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4 500 000</w:t>
            </w:r>
          </w:p>
        </w:tc>
        <w:tc>
          <w:tcPr>
            <w:tcW w:w="1536" w:type="dxa"/>
          </w:tcPr>
          <w:p w:rsidR="00493B0E" w:rsidRDefault="00C6773E" w:rsidP="00493B0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62 259 000</w:t>
            </w:r>
          </w:p>
        </w:tc>
      </w:tr>
    </w:tbl>
    <w:p w:rsidR="00493B0E" w:rsidRPr="00493B0E" w:rsidRDefault="00493B0E" w:rsidP="00493B0E">
      <w:pPr>
        <w:rPr>
          <w:lang w:val="pl-PL"/>
        </w:rPr>
      </w:pPr>
    </w:p>
    <w:p w:rsidR="009E09E1" w:rsidRDefault="009E09E1" w:rsidP="00816B8C">
      <w:r w:rsidRPr="00F242F2">
        <w:rPr>
          <w:lang w:val="pl-PL"/>
        </w:rPr>
        <w:t xml:space="preserve">Przedstawiona prognoza dochodów budżetowych stanowi o możliwościach sfinansowania zadań jak również </w:t>
      </w:r>
      <w:r w:rsidR="00C6773E">
        <w:rPr>
          <w:lang w:val="pl-PL"/>
        </w:rPr>
        <w:t>finansuje spłatę</w:t>
      </w:r>
      <w:r w:rsidRPr="00F242F2">
        <w:rPr>
          <w:lang w:val="pl-PL"/>
        </w:rPr>
        <w:t xml:space="preserve"> kapitałów, zaciągniętych w latach ubiegłych. </w:t>
      </w:r>
      <w:r>
        <w:t>W prognozowanym okresie raty kapitałowe wyniosą:</w:t>
      </w:r>
    </w:p>
    <w:p w:rsidR="00C6773E" w:rsidRDefault="00C6773E" w:rsidP="00816B8C"/>
    <w:tbl>
      <w:tblPr>
        <w:tblW w:w="26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660"/>
      </w:tblGrid>
      <w:tr w:rsidR="009E09E1" w:rsidRPr="00F9540C" w:rsidTr="0003663D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Lata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zł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C6773E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3 579 455,10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11 201 780,18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10 058 991,80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10 058 991,80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10 008 991,80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9 388 991,80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8 195 663,80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7 599 732,49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5 873 487,86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5 635 000,00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5 900 000,00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C6773E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</w:t>
            </w:r>
            <w:r w:rsidR="009E09E1">
              <w:rPr>
                <w:lang w:val="pl-PL" w:eastAsia="pl-PL"/>
              </w:rPr>
              <w:t> 500 000,00</w:t>
            </w:r>
          </w:p>
        </w:tc>
      </w:tr>
      <w:tr w:rsidR="009E09E1" w:rsidRPr="00F9540C" w:rsidTr="0003663D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C6773E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</w:t>
            </w:r>
            <w:r w:rsidR="009E09E1">
              <w:rPr>
                <w:lang w:val="pl-PL" w:eastAsia="pl-PL"/>
              </w:rPr>
              <w:t> 000 000,00</w:t>
            </w:r>
          </w:p>
        </w:tc>
      </w:tr>
    </w:tbl>
    <w:p w:rsidR="009E09E1" w:rsidRPr="00F9540C" w:rsidRDefault="009E09E1" w:rsidP="00816B8C"/>
    <w:p w:rsidR="009E09E1" w:rsidRPr="00F242F2" w:rsidRDefault="009E09E1" w:rsidP="00816B8C">
      <w:pPr>
        <w:rPr>
          <w:lang w:val="pl-PL"/>
        </w:rPr>
      </w:pPr>
      <w:r w:rsidRPr="00F242F2">
        <w:rPr>
          <w:lang w:val="pl-PL"/>
        </w:rPr>
        <w:t>Prognozowane dochody przeznaczone na finansowanie realizowanych zadań są następujące:</w:t>
      </w:r>
    </w:p>
    <w:tbl>
      <w:tblPr>
        <w:tblW w:w="9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974"/>
        <w:gridCol w:w="1974"/>
        <w:gridCol w:w="1974"/>
        <w:gridCol w:w="1974"/>
        <w:gridCol w:w="350"/>
      </w:tblGrid>
      <w:tr w:rsidR="00FA5215" w:rsidRPr="00F9540C" w:rsidTr="00FA5215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Lata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Dochody ogółem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Spłaty rat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Dochody netto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Wydatki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A5215" w:rsidRDefault="00FA5215" w:rsidP="0003663D">
            <w:pPr>
              <w:jc w:val="center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215" w:rsidRPr="00F9540C" w:rsidRDefault="00FA5215" w:rsidP="0003663D">
            <w:pPr>
              <w:jc w:val="left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215" w:rsidRPr="00F9540C" w:rsidRDefault="00FA5215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215" w:rsidRPr="00F9540C" w:rsidRDefault="00FA5215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215" w:rsidRPr="00F9540C" w:rsidRDefault="00FA5215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zł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Pr="00F9540C" w:rsidRDefault="00FA5215" w:rsidP="00100907">
            <w:pPr>
              <w:jc w:val="center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239 740 000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3 579 455,10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236 160 544,90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361DA2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    </w:t>
            </w:r>
            <w:r w:rsidR="00FA5215">
              <w:rPr>
                <w:lang w:val="pl-PL" w:eastAsia="pl-PL"/>
              </w:rPr>
              <w:t>236 165</w:t>
            </w:r>
            <w:r>
              <w:rPr>
                <w:lang w:val="pl-PL" w:eastAsia="pl-PL"/>
              </w:rPr>
              <w:t> </w:t>
            </w:r>
            <w:r w:rsidR="00FA5215">
              <w:rPr>
                <w:lang w:val="pl-PL" w:eastAsia="pl-PL"/>
              </w:rPr>
              <w:t>000</w:t>
            </w:r>
            <w:r>
              <w:rPr>
                <w:lang w:val="pl-PL" w:eastAsia="pl-PL"/>
              </w:rPr>
              <w:t xml:space="preserve">  </w:t>
            </w:r>
            <w:r w:rsidRPr="00FA5215">
              <w:rPr>
                <w:sz w:val="20"/>
                <w:szCs w:val="20"/>
                <w:lang w:val="pl-PL" w:eastAsia="pl-PL"/>
              </w:rPr>
              <w:t>x</w:t>
            </w:r>
            <w:r w:rsidRPr="00FA5215">
              <w:rPr>
                <w:sz w:val="20"/>
                <w:szCs w:val="20"/>
                <w:vertAlign w:val="subscript"/>
                <w:lang w:val="pl-PL" w:eastAsia="pl-PL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Pr="00FA5215" w:rsidRDefault="00FA5215" w:rsidP="00FA5215">
            <w:pPr>
              <w:jc w:val="left"/>
              <w:rPr>
                <w:sz w:val="20"/>
                <w:szCs w:val="20"/>
                <w:vertAlign w:val="subscript"/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234 595 030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11 201 780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233 393 249,82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223 377 382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236 666 998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10 058 992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226 608 006,20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226 592 138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238 976 748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10 058 992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228 917 756,20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228 901 888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241 444 900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10 008 992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231 435 908,20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231 420 040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245 056 000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9 388 992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235 667 008,20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235 651 140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249 127 878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8 195 664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240 932 214,20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240 916 346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251 165 769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7 599 732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243 566 036,51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243 566 036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256 158 780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5 873 488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250 285 292,14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250 285 292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259 998 447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5 635 000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254 363 447,00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254 363 447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264 020 272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5 900 000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258 120 272,00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258 120 272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268 289 046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9737EE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5 500 000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262 789 046,00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261 789 046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  <w:tr w:rsidR="00FA5215" w:rsidRPr="00F9540C" w:rsidTr="00FA5215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272 251 484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3 000 000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03663D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269 251 484,00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215" w:rsidRPr="00F9540C" w:rsidRDefault="00FA5215" w:rsidP="00361DA2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266 251 984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</w:tcBorders>
          </w:tcPr>
          <w:p w:rsidR="00FA5215" w:rsidRDefault="00FA5215" w:rsidP="0003663D">
            <w:pPr>
              <w:jc w:val="right"/>
              <w:rPr>
                <w:lang w:val="pl-PL" w:eastAsia="pl-PL"/>
              </w:rPr>
            </w:pPr>
          </w:p>
        </w:tc>
      </w:tr>
    </w:tbl>
    <w:p w:rsidR="009E09E1" w:rsidRPr="00D44578" w:rsidRDefault="00FA5215" w:rsidP="00816B8C">
      <w:pPr>
        <w:rPr>
          <w:sz w:val="18"/>
          <w:szCs w:val="18"/>
          <w:lang w:val="pl-PL"/>
        </w:rPr>
      </w:pPr>
      <w:r w:rsidRPr="00FA5215">
        <w:rPr>
          <w:sz w:val="18"/>
          <w:szCs w:val="18"/>
          <w:lang w:val="pl-PL" w:eastAsia="pl-PL"/>
        </w:rPr>
        <w:t>x</w:t>
      </w:r>
      <w:r w:rsidRPr="00FA5215">
        <w:rPr>
          <w:sz w:val="18"/>
          <w:szCs w:val="18"/>
          <w:vertAlign w:val="subscript"/>
          <w:lang w:val="pl-PL" w:eastAsia="pl-PL"/>
        </w:rPr>
        <w:t xml:space="preserve">1  </w:t>
      </w:r>
      <w:r w:rsidRPr="00FA5215">
        <w:rPr>
          <w:sz w:val="18"/>
          <w:szCs w:val="18"/>
          <w:lang w:val="pl-PL" w:eastAsia="pl-PL"/>
        </w:rPr>
        <w:t>- wydatki w kwocie 4 455,10 zł finansowane są przychodami</w:t>
      </w:r>
    </w:p>
    <w:p w:rsidR="009E09E1" w:rsidRPr="00F242F2" w:rsidRDefault="009E09E1" w:rsidP="00816B8C">
      <w:pPr>
        <w:rPr>
          <w:lang w:val="pl-PL"/>
        </w:rPr>
      </w:pPr>
      <w:r w:rsidRPr="00F242F2">
        <w:rPr>
          <w:lang w:val="pl-PL"/>
        </w:rPr>
        <w:lastRenderedPageBreak/>
        <w:t>W prognozowanym okresie spełniony zostanie wymóg art. 242 u</w:t>
      </w:r>
      <w:r w:rsidR="0009691A">
        <w:rPr>
          <w:lang w:val="pl-PL"/>
        </w:rPr>
        <w:t xml:space="preserve">stawy </w:t>
      </w:r>
      <w:r w:rsidRPr="00F242F2">
        <w:rPr>
          <w:lang w:val="pl-PL"/>
        </w:rPr>
        <w:t>o</w:t>
      </w:r>
      <w:r w:rsidR="0009691A">
        <w:rPr>
          <w:lang w:val="pl-PL"/>
        </w:rPr>
        <w:t xml:space="preserve"> </w:t>
      </w:r>
      <w:r w:rsidRPr="00F242F2">
        <w:rPr>
          <w:lang w:val="pl-PL"/>
        </w:rPr>
        <w:t>f</w:t>
      </w:r>
      <w:r w:rsidR="0009691A">
        <w:rPr>
          <w:lang w:val="pl-PL"/>
        </w:rPr>
        <w:t>inansach publicznych</w:t>
      </w:r>
      <w:r w:rsidRPr="00F242F2">
        <w:rPr>
          <w:lang w:val="pl-PL"/>
        </w:rPr>
        <w:t>, bowiem zakłada się uzyskanie nadwyżki operacyjnej w kwotach:</w:t>
      </w:r>
    </w:p>
    <w:tbl>
      <w:tblPr>
        <w:tblW w:w="26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660"/>
      </w:tblGrid>
      <w:tr w:rsidR="009E09E1" w:rsidRPr="00F9540C" w:rsidTr="00100907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Lata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zł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817CD1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13 252 208,00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817CD1" w:rsidP="00FA521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25 860 375,</w:t>
            </w:r>
            <w:r w:rsidR="00FA5215">
              <w:rPr>
                <w:lang w:val="pl-PL" w:eastAsia="pl-PL"/>
              </w:rPr>
              <w:t>18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817CD1" w:rsidP="00817CD1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22 856 998,00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817CD1" w:rsidP="00ED6575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24 206 7</w:t>
            </w:r>
            <w:r w:rsidR="00ED6575">
              <w:rPr>
                <w:lang w:val="pl-PL" w:eastAsia="pl-PL"/>
              </w:rPr>
              <w:t>48</w:t>
            </w:r>
            <w:r>
              <w:rPr>
                <w:lang w:val="pl-PL" w:eastAsia="pl-PL"/>
              </w:rPr>
              <w:t>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817CD1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26 134 900,00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817CD1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27 346 000,00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04180E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30 317 878,00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04180E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27 555 769,00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04180E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27 748 780,00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0E" w:rsidRPr="00F9540C" w:rsidRDefault="0004180E" w:rsidP="0004180E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26 788 447,00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04180E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25 920 272,00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04180E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25 289 046,00</w:t>
            </w:r>
          </w:p>
        </w:tc>
      </w:tr>
      <w:tr w:rsidR="009E09E1" w:rsidRPr="00F9540C" w:rsidTr="00100907">
        <w:trPr>
          <w:trHeight w:val="2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9E09E1" w:rsidP="00100907">
            <w:pPr>
              <w:jc w:val="center"/>
              <w:rPr>
                <w:lang w:val="pl-PL" w:eastAsia="pl-PL"/>
              </w:rPr>
            </w:pPr>
            <w:r w:rsidRPr="00F9540C">
              <w:rPr>
                <w:lang w:val="pl-PL" w:eastAsia="pl-PL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9E1" w:rsidRPr="00F9540C" w:rsidRDefault="0004180E" w:rsidP="00100907">
            <w:pPr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24 351 484,00</w:t>
            </w:r>
          </w:p>
        </w:tc>
      </w:tr>
    </w:tbl>
    <w:p w:rsidR="009E09E1" w:rsidRPr="00F9540C" w:rsidRDefault="009E09E1" w:rsidP="00816B8C"/>
    <w:p w:rsidR="009E09E1" w:rsidRPr="00F242F2" w:rsidRDefault="009E09E1" w:rsidP="00816B8C">
      <w:pPr>
        <w:rPr>
          <w:lang w:val="pl-PL"/>
        </w:rPr>
      </w:pPr>
      <w:r>
        <w:rPr>
          <w:lang w:val="pl-PL"/>
        </w:rPr>
        <w:t>Z</w:t>
      </w:r>
      <w:r w:rsidRPr="00F242F2">
        <w:rPr>
          <w:lang w:val="pl-PL"/>
        </w:rPr>
        <w:t>achowana zostanie</w:t>
      </w:r>
      <w:r>
        <w:rPr>
          <w:lang w:val="pl-PL"/>
        </w:rPr>
        <w:t xml:space="preserve"> również</w:t>
      </w:r>
      <w:r w:rsidRPr="00F242F2">
        <w:rPr>
          <w:lang w:val="pl-PL"/>
        </w:rPr>
        <w:t xml:space="preserve"> wymagana </w:t>
      </w:r>
      <w:r>
        <w:rPr>
          <w:lang w:val="pl-PL"/>
        </w:rPr>
        <w:t xml:space="preserve">przepisem </w:t>
      </w:r>
      <w:r w:rsidRPr="00F242F2">
        <w:rPr>
          <w:lang w:val="pl-PL"/>
        </w:rPr>
        <w:t>art. 243 u</w:t>
      </w:r>
      <w:r w:rsidR="0004180E">
        <w:rPr>
          <w:lang w:val="pl-PL"/>
        </w:rPr>
        <w:t xml:space="preserve">stawy o finansach publicznych </w:t>
      </w:r>
      <w:r w:rsidRPr="00F242F2">
        <w:rPr>
          <w:lang w:val="pl-PL"/>
        </w:rPr>
        <w:t xml:space="preserve"> relacja obsługi długu publicznego w stosunku do dochodów, która kształtować się będzie zawsze poniżej dopuszczalnego wskaźnika. W przypadku pojawienia się dodatkowych dochodów budżetowych bądź uzyskania obniżenia planowanych wydatków wolne kwoty przeznaczone zostaną na spłatę długu.</w:t>
      </w:r>
    </w:p>
    <w:p w:rsidR="009E09E1" w:rsidRPr="00F242F2" w:rsidRDefault="009E09E1" w:rsidP="00816B8C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00CF" w:rsidRPr="00D44578" w:rsidTr="00A600CF">
        <w:tc>
          <w:tcPr>
            <w:tcW w:w="4606" w:type="dxa"/>
          </w:tcPr>
          <w:p w:rsidR="00A600CF" w:rsidRDefault="00A600CF" w:rsidP="00816B8C">
            <w:pPr>
              <w:rPr>
                <w:lang w:val="pl-PL"/>
              </w:rPr>
            </w:pPr>
          </w:p>
        </w:tc>
        <w:tc>
          <w:tcPr>
            <w:tcW w:w="4606" w:type="dxa"/>
          </w:tcPr>
          <w:p w:rsidR="00A600CF" w:rsidRPr="00A600CF" w:rsidRDefault="00A600CF" w:rsidP="00A600CF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A600CF" w:rsidRPr="00A600CF" w:rsidRDefault="00A600CF" w:rsidP="00A600CF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A600CF" w:rsidRPr="00A600CF" w:rsidRDefault="00A600CF" w:rsidP="00A600CF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A600CF" w:rsidRDefault="00A600CF" w:rsidP="00A600CF">
            <w:pPr>
              <w:jc w:val="center"/>
              <w:rPr>
                <w:lang w:val="pl-PL"/>
              </w:rPr>
            </w:pP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D44578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710BA7" w:rsidRPr="00F242F2" w:rsidRDefault="00710BA7" w:rsidP="00710BA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DO UCHWAŁY NR</w:t>
            </w:r>
            <w:r>
              <w:rPr>
                <w:b/>
                <w:sz w:val="20"/>
                <w:szCs w:val="20"/>
                <w:lang w:val="pl-PL"/>
              </w:rPr>
              <w:t xml:space="preserve"> XV/141/2015</w:t>
            </w:r>
          </w:p>
          <w:p w:rsidR="00710BA7" w:rsidRPr="00F242F2" w:rsidRDefault="00710BA7" w:rsidP="00710BA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710BA7" w:rsidP="00710BA7">
            <w:pPr>
              <w:tabs>
                <w:tab w:val="left" w:pos="3464"/>
              </w:tabs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>z dnia</w:t>
            </w:r>
            <w:r>
              <w:rPr>
                <w:sz w:val="20"/>
                <w:szCs w:val="20"/>
                <w:lang w:val="pl-PL"/>
              </w:rPr>
              <w:t xml:space="preserve"> 21 grudnia 2015</w:t>
            </w:r>
            <w:r w:rsidRPr="00F242F2">
              <w:rPr>
                <w:sz w:val="20"/>
                <w:szCs w:val="20"/>
                <w:lang w:val="pl-PL"/>
              </w:rPr>
              <w:t xml:space="preserve"> r.</w:t>
            </w:r>
            <w:r>
              <w:rPr>
                <w:sz w:val="20"/>
                <w:szCs w:val="20"/>
                <w:lang w:val="pl-PL"/>
              </w:rPr>
              <w:tab/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-201</w:t>
      </w:r>
      <w:r w:rsidR="00A600CF">
        <w:rPr>
          <w:b/>
          <w:sz w:val="28"/>
          <w:szCs w:val="28"/>
        </w:rPr>
        <w:t>9</w:t>
      </w:r>
    </w:p>
    <w:p w:rsidR="009E09E1" w:rsidRPr="00CC378B" w:rsidRDefault="009E09E1" w:rsidP="00B579A9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4316"/>
        <w:gridCol w:w="1208"/>
        <w:gridCol w:w="806"/>
        <w:gridCol w:w="752"/>
        <w:gridCol w:w="1222"/>
        <w:gridCol w:w="931"/>
        <w:gridCol w:w="931"/>
        <w:gridCol w:w="829"/>
        <w:gridCol w:w="829"/>
        <w:gridCol w:w="834"/>
        <w:gridCol w:w="1148"/>
      </w:tblGrid>
      <w:tr w:rsidR="00F672B7" w:rsidRPr="00F672B7" w:rsidTr="00F672B7">
        <w:trPr>
          <w:trHeight w:val="28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Nazwa i cel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jednostka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Okres realizacji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Łączne nakłady</w:t>
            </w:r>
          </w:p>
        </w:tc>
        <w:tc>
          <w:tcPr>
            <w:tcW w:w="1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Limity wydatków w poszczególnych latach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Limit 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odpowiedzialna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do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finansowe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zobowiązań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Przedsięwzięcia ogółem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76 387 581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31 866 775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11 473 771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7 253 771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32 994 448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 xml:space="preserve"> 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76 387 581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31 866 775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11 473 771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7 253 771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32 994 448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1) programy, projekty lub zadania (razem)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76 387 581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31 866 775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11 473 771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7 253 771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32 994 448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76 387 581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31 866 775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11 473 771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7 253 771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32 994 448</w:t>
            </w:r>
          </w:p>
        </w:tc>
      </w:tr>
      <w:tr w:rsidR="00F672B7" w:rsidRPr="00F672B7" w:rsidTr="00F672B7">
        <w:trPr>
          <w:trHeight w:val="4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28 079 196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23 398 988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28 079 196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23 398 988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43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2007-2013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27 269 196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22 588 988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7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Zaprojektowanie i wybudowanie łącznika ul. Wojska Polskiego od alei Niepodległości do ul. Staszica oraz zaprojektowanie i wybudowanie łącznika ul. Metalowców z ul. Toruńską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12.2007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5 556 013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883 105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4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Zakup nowych autobusów do obsługi transportu publicznego w Inowrocławiu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21 713 183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21 705 883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Narodowy Program Przebudowy Dróg Lokalnych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810 000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810 000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4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Poprawa bezpieczeństwa na ul. Metalowców i dostępności do Strefy Północnej IOG  w Inowrocławiu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810 000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810 000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4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48 308 385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8 467 787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11 473 771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7 253 771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32 994 448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48 308 385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8 467 787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11 473 771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7 253 771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32 994 448</w:t>
            </w:r>
          </w:p>
        </w:tc>
      </w:tr>
      <w:tr w:rsidR="00F672B7" w:rsidRPr="00F672B7" w:rsidTr="00F672B7">
        <w:trPr>
          <w:trHeight w:val="2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43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Rozwoju Gminnej i Powiatowej Infrastruktury Drogowej na lata 2016-2020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4 700 000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</w:tr>
      <w:tr w:rsidR="00F672B7" w:rsidRPr="00F672B7" w:rsidTr="00F672B7">
        <w:trPr>
          <w:trHeight w:val="39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Przebudowa ul. Długiej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4 700 000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Wieloletni Plan Inwestycyjny na lata 2007-2013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2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7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8 476 750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3 800 000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budynku mieszkalnego nr 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1 676 750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budynku mieszkalnego nr 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1 300 000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budynku mieszkalnego nr 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budynku mieszkalnego nr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</w:tr>
      <w:tr w:rsidR="00F672B7" w:rsidRPr="00F672B7" w:rsidTr="00F672B7">
        <w:trPr>
          <w:trHeight w:val="2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budynku socjalnego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</w:tr>
      <w:tr w:rsidR="00F672B7" w:rsidRPr="00F672B7" w:rsidTr="00F672B7">
        <w:trPr>
          <w:trHeight w:val="2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3 ogółem Rozwój Inwestycji Sportowych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999 790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4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Poprawa funkcjonalności boiska sportowego na potrzeby klubu sportowego przy Szkole Podstawowej nr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999 790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program 4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34 131 845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6 267 787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6 173 771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6 053 771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6 266 906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24 694 448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dróg tymczasowych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2 891 700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2 350 000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Oświetlenie terenów miasta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1 410 526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410 526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Montaż kamer na terenie miasta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240 000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150 000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Jesionowej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1 898 000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598 000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parkingów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1 485 200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1 100 000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Ścieżki rowerowe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1 045 771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177 000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103 771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175 000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778 771</w:t>
            </w:r>
          </w:p>
        </w:tc>
      </w:tr>
      <w:tr w:rsidR="00F672B7" w:rsidRPr="00F672B7" w:rsidTr="00F672B7">
        <w:trPr>
          <w:trHeight w:val="4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 xml:space="preserve">Przebudowa jezdni i chodników w rejonie ul. Cymsa, Jaworskiej, Gruszczyńskiego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1 629 600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913 500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Modernizacja dróg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4 000 000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4 000 000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chodników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912 008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412 008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Różanej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358 010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358 010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Ulatowskiego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270 000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270 000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Dyngusowej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</w:tr>
      <w:tr w:rsidR="00F672B7" w:rsidRPr="00F672B7" w:rsidTr="00F672B7">
        <w:trPr>
          <w:trHeight w:val="3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boiska w Zespole Szkół Integracyjnych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624 117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477 507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4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drogi dojazdowej do budynków mieszkalnych w rejonie ul. Jacewskiej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252 174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252 174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Remont nawierzchni przy budynku UM al. Sienkiewicza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55 000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55 000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Adaptacja i osuszanie piwnic budynku UM  al. Sienkiewicza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Boisko do ręcznej piłki plażowej i innych sportów plażowych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4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73 000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73 000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Przebudowa Skweru Sybiraków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</w:tr>
      <w:tr w:rsidR="00F672B7" w:rsidRPr="00F672B7" w:rsidTr="00F672B7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zatok postojowych oraz chodnika w ul. Przy Stawku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</w:tr>
      <w:tr w:rsidR="00F672B7" w:rsidRPr="00F672B7" w:rsidTr="00F672B7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Kamiennej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Kościelskiego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Szelburg-Zarembiny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Jesionowa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Zielnej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Lnianej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Słonecznikowej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Łubinowej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Kruszańskiej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Remont placówek oświatowych i opiekuńczych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3 000 000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</w:tr>
      <w:tr w:rsidR="00F672B7" w:rsidRPr="00F672B7" w:rsidTr="00F672B7">
        <w:trPr>
          <w:trHeight w:val="39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5 641 739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271 062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1 528 771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1 541 906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5 270 677</w:t>
            </w:r>
          </w:p>
        </w:tc>
      </w:tr>
      <w:tr w:rsidR="00F672B7" w:rsidRPr="00F672B7" w:rsidTr="00F672B7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Polskich Saperów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F672B7" w:rsidRPr="00F672B7" w:rsidTr="00F672B7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Budowa ul. Czarna Droga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73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F672B7" w:rsidRPr="00F672B7" w:rsidTr="00F672B7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7" w:rsidRPr="00F672B7" w:rsidRDefault="00F672B7" w:rsidP="00F672B7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F672B7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D84E5C" w:rsidRPr="000171C5" w:rsidRDefault="00D84E5C" w:rsidP="00816B8C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D44578" w:rsidTr="00CC378B">
        <w:tc>
          <w:tcPr>
            <w:tcW w:w="7071" w:type="dxa"/>
          </w:tcPr>
          <w:p w:rsidR="009E09E1" w:rsidRPr="00F51A50" w:rsidRDefault="009E09E1" w:rsidP="00CC378B"/>
        </w:tc>
        <w:tc>
          <w:tcPr>
            <w:tcW w:w="7071" w:type="dxa"/>
          </w:tcPr>
          <w:p w:rsidR="009E09E1" w:rsidRPr="00D44578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A600CF" w:rsidRPr="00D44578" w:rsidRDefault="00A600CF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D44578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D44578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D44578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DO </w:t>
      </w:r>
      <w:r w:rsidRPr="00503CDE">
        <w:rPr>
          <w:b/>
          <w:caps/>
          <w:sz w:val="28"/>
          <w:szCs w:val="28"/>
          <w:lang w:val="pl-PL"/>
        </w:rPr>
        <w:t>Uchwał</w:t>
      </w:r>
      <w:r>
        <w:rPr>
          <w:b/>
          <w:caps/>
          <w:sz w:val="28"/>
          <w:szCs w:val="28"/>
          <w:lang w:val="pl-PL"/>
        </w:rPr>
        <w:t xml:space="preserve">Y Nr </w:t>
      </w:r>
      <w:r w:rsidR="00710BA7">
        <w:rPr>
          <w:b/>
          <w:caps/>
          <w:sz w:val="28"/>
          <w:szCs w:val="28"/>
          <w:lang w:val="pl-PL"/>
        </w:rPr>
        <w:t>XV/141/2015</w:t>
      </w:r>
    </w:p>
    <w:p w:rsidR="009E09E1" w:rsidRPr="00F63789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5B1701" w:rsidRDefault="009E09E1" w:rsidP="00AF51D8">
      <w:pPr>
        <w:jc w:val="center"/>
        <w:rPr>
          <w:lang w:val="pl-PL"/>
        </w:rPr>
      </w:pPr>
      <w:r w:rsidRPr="005B1701">
        <w:rPr>
          <w:lang w:val="pl-PL"/>
        </w:rPr>
        <w:t>z dnia</w:t>
      </w:r>
      <w:r w:rsidR="00710BA7">
        <w:rPr>
          <w:lang w:val="pl-PL"/>
        </w:rPr>
        <w:t xml:space="preserve"> 21 grudnia 2015 r. </w:t>
      </w:r>
    </w:p>
    <w:p w:rsidR="009E09E1" w:rsidRDefault="009E09E1" w:rsidP="00F44878">
      <w:pPr>
        <w:keepLines/>
        <w:rPr>
          <w:caps/>
          <w:sz w:val="28"/>
          <w:szCs w:val="28"/>
          <w:lang w:val="pl-PL"/>
        </w:rPr>
      </w:pPr>
    </w:p>
    <w:p w:rsidR="009E09E1" w:rsidRDefault="009E09E1" w:rsidP="00F44878">
      <w:pPr>
        <w:keepLines/>
        <w:rPr>
          <w:lang w:val="pl-PL"/>
        </w:rPr>
      </w:pPr>
      <w:r w:rsidRPr="00503CDE">
        <w:rPr>
          <w:lang w:val="pl-PL"/>
        </w:rPr>
        <w:t>Dług publiczny Miasta Inowrocławia wg stanu na dzień 30 września 201</w:t>
      </w:r>
      <w:r w:rsidR="00A0710F">
        <w:rPr>
          <w:lang w:val="pl-PL"/>
        </w:rPr>
        <w:t>5</w:t>
      </w:r>
      <w:r w:rsidRPr="00503CDE">
        <w:rPr>
          <w:lang w:val="pl-PL"/>
        </w:rPr>
        <w:t xml:space="preserve"> r. wynosi</w:t>
      </w:r>
      <w:r>
        <w:rPr>
          <w:lang w:val="pl-PL"/>
        </w:rPr>
        <w:t>ł</w:t>
      </w:r>
      <w:r w:rsidRPr="00503CDE">
        <w:rPr>
          <w:lang w:val="pl-PL"/>
        </w:rPr>
        <w:t xml:space="preserve"> </w:t>
      </w:r>
      <w:r w:rsidR="00A0710F">
        <w:rPr>
          <w:lang w:val="pl-PL"/>
        </w:rPr>
        <w:t>107 472 834,58</w:t>
      </w:r>
      <w:r w:rsidRPr="00503CDE">
        <w:rPr>
          <w:lang w:val="pl-PL"/>
        </w:rPr>
        <w:t xml:space="preserve"> zł</w:t>
      </w:r>
      <w:r>
        <w:rPr>
          <w:lang w:val="pl-PL"/>
        </w:rPr>
        <w:t xml:space="preserve"> i </w:t>
      </w:r>
      <w:r w:rsidRPr="00503CDE">
        <w:rPr>
          <w:lang w:val="pl-PL"/>
        </w:rPr>
        <w:t>w relacji do planowanych dochodów</w:t>
      </w:r>
      <w:r>
        <w:rPr>
          <w:lang w:val="pl-PL"/>
        </w:rPr>
        <w:t xml:space="preserve"> na 201</w:t>
      </w:r>
      <w:r w:rsidR="00A0710F">
        <w:rPr>
          <w:lang w:val="pl-PL"/>
        </w:rPr>
        <w:t>5</w:t>
      </w:r>
      <w:r>
        <w:rPr>
          <w:lang w:val="pl-PL"/>
        </w:rPr>
        <w:t xml:space="preserve"> r.</w:t>
      </w:r>
      <w:r w:rsidRPr="00503CDE">
        <w:rPr>
          <w:lang w:val="pl-PL"/>
        </w:rPr>
        <w:t xml:space="preserve"> stanowi</w:t>
      </w:r>
      <w:r>
        <w:rPr>
          <w:lang w:val="pl-PL"/>
        </w:rPr>
        <w:t>ł</w:t>
      </w:r>
      <w:r w:rsidRPr="00503CDE">
        <w:rPr>
          <w:lang w:val="pl-PL"/>
        </w:rPr>
        <w:t xml:space="preserve"> </w:t>
      </w:r>
      <w:r>
        <w:rPr>
          <w:lang w:val="pl-PL"/>
        </w:rPr>
        <w:t>4</w:t>
      </w:r>
      <w:r w:rsidR="00A0710F">
        <w:rPr>
          <w:lang w:val="pl-PL"/>
        </w:rPr>
        <w:t>0,28</w:t>
      </w:r>
      <w:r w:rsidRPr="00503CDE">
        <w:rPr>
          <w:lang w:val="pl-PL"/>
        </w:rPr>
        <w:t xml:space="preserve"> %</w:t>
      </w:r>
      <w:r>
        <w:rPr>
          <w:lang w:val="pl-PL"/>
        </w:rPr>
        <w:t xml:space="preserve">. Spośród ogólnej kwoty długu kwota </w:t>
      </w:r>
      <w:r w:rsidR="00A0710F">
        <w:rPr>
          <w:lang w:val="pl-PL"/>
        </w:rPr>
        <w:t>19 632 755,18</w:t>
      </w:r>
      <w:r>
        <w:rPr>
          <w:lang w:val="pl-PL"/>
        </w:rPr>
        <w:t xml:space="preserve"> zł dotyczyła zadań posiadających do</w:t>
      </w:r>
      <w:r w:rsidR="00A0710F">
        <w:rPr>
          <w:lang w:val="pl-PL"/>
        </w:rPr>
        <w:t>finansowanie Unii Europejskiej.</w:t>
      </w:r>
    </w:p>
    <w:p w:rsidR="009E09E1" w:rsidRDefault="009E09E1" w:rsidP="00F44878">
      <w:pPr>
        <w:keepLines/>
        <w:rPr>
          <w:lang w:val="pl-PL"/>
        </w:rPr>
      </w:pPr>
    </w:p>
    <w:p w:rsidR="009E09E1" w:rsidRDefault="009E09E1" w:rsidP="00F44878">
      <w:pPr>
        <w:keepLines/>
        <w:rPr>
          <w:lang w:val="pl-PL"/>
        </w:rPr>
      </w:pPr>
      <w:r>
        <w:rPr>
          <w:lang w:val="pl-PL"/>
        </w:rPr>
        <w:t>Projekt budżetu na 201</w:t>
      </w:r>
      <w:r w:rsidR="00A0710F">
        <w:rPr>
          <w:lang w:val="pl-PL"/>
        </w:rPr>
        <w:t>6</w:t>
      </w:r>
      <w:r>
        <w:rPr>
          <w:lang w:val="pl-PL"/>
        </w:rPr>
        <w:t xml:space="preserve"> r. zakłada planowaną spłatę kapitału w wysokości 3</w:t>
      </w:r>
      <w:r w:rsidR="00A0710F">
        <w:rPr>
          <w:lang w:val="pl-PL"/>
        </w:rPr>
        <w:t> 579 455,10</w:t>
      </w:r>
      <w:r>
        <w:rPr>
          <w:lang w:val="pl-PL"/>
        </w:rPr>
        <w:t xml:space="preserve"> zł. Zatem przewidywana na 31 grudnia 201</w:t>
      </w:r>
      <w:r w:rsidR="00A0710F">
        <w:rPr>
          <w:lang w:val="pl-PL"/>
        </w:rPr>
        <w:t>6</w:t>
      </w:r>
      <w:r>
        <w:rPr>
          <w:lang w:val="pl-PL"/>
        </w:rPr>
        <w:t xml:space="preserve"> r. kwota długu wyniesie </w:t>
      </w:r>
      <w:r w:rsidR="00A0710F">
        <w:rPr>
          <w:lang w:val="pl-PL"/>
        </w:rPr>
        <w:t>96 001 086,63</w:t>
      </w:r>
      <w:r>
        <w:rPr>
          <w:lang w:val="pl-PL"/>
        </w:rPr>
        <w:t xml:space="preserve"> zł                     i stanowić będzie </w:t>
      </w:r>
      <w:r w:rsidR="00A0710F">
        <w:rPr>
          <w:lang w:val="pl-PL"/>
        </w:rPr>
        <w:t>35,39</w:t>
      </w:r>
      <w:r>
        <w:rPr>
          <w:lang w:val="pl-PL"/>
        </w:rPr>
        <w:t xml:space="preserve"> %</w:t>
      </w:r>
      <w:r w:rsidR="00A0710F">
        <w:rPr>
          <w:lang w:val="pl-PL"/>
        </w:rPr>
        <w:t xml:space="preserve"> przewidywanego wykonania dochodów</w:t>
      </w:r>
      <w:r>
        <w:rPr>
          <w:lang w:val="pl-PL"/>
        </w:rPr>
        <w:t>. W 201</w:t>
      </w:r>
      <w:r w:rsidR="00A0710F">
        <w:rPr>
          <w:lang w:val="pl-PL"/>
        </w:rPr>
        <w:t>6</w:t>
      </w:r>
      <w:r>
        <w:rPr>
          <w:lang w:val="pl-PL"/>
        </w:rPr>
        <w:t xml:space="preserve"> r. koszty obsługi długu  stanowić będą kwotę </w:t>
      </w:r>
      <w:r w:rsidR="00A0710F">
        <w:rPr>
          <w:lang w:val="pl-PL"/>
        </w:rPr>
        <w:t>7 579 455,10</w:t>
      </w:r>
      <w:r>
        <w:rPr>
          <w:lang w:val="pl-PL"/>
        </w:rPr>
        <w:t xml:space="preserve"> zł</w:t>
      </w:r>
      <w:r w:rsidR="0009691A">
        <w:rPr>
          <w:lang w:val="pl-PL"/>
        </w:rPr>
        <w:t>.</w:t>
      </w:r>
      <w:r>
        <w:rPr>
          <w:lang w:val="pl-PL"/>
        </w:rPr>
        <w:t xml:space="preserve"> Kwota ta obejmuje  spłatę kapitału oraz odsetki w wysokości 4</w:t>
      </w:r>
      <w:r w:rsidR="00A0710F">
        <w:rPr>
          <w:lang w:val="pl-PL"/>
        </w:rPr>
        <w:t>,0</w:t>
      </w:r>
      <w:r>
        <w:rPr>
          <w:lang w:val="pl-PL"/>
        </w:rPr>
        <w:t xml:space="preserve"> mln zł, co stanowi 3,</w:t>
      </w:r>
      <w:r w:rsidR="00A0710F">
        <w:rPr>
          <w:lang w:val="pl-PL"/>
        </w:rPr>
        <w:t>16</w:t>
      </w:r>
      <w:r>
        <w:rPr>
          <w:lang w:val="pl-PL"/>
        </w:rPr>
        <w:t xml:space="preserve">%. </w:t>
      </w:r>
      <w:r w:rsidR="0009691A">
        <w:rPr>
          <w:lang w:val="pl-PL"/>
        </w:rPr>
        <w:t xml:space="preserve">W </w:t>
      </w:r>
      <w:r>
        <w:rPr>
          <w:lang w:val="pl-PL"/>
        </w:rPr>
        <w:t>ww. kwo</w:t>
      </w:r>
      <w:r w:rsidR="0009691A">
        <w:rPr>
          <w:lang w:val="pl-PL"/>
        </w:rPr>
        <w:t>cie</w:t>
      </w:r>
      <w:r>
        <w:rPr>
          <w:lang w:val="pl-PL"/>
        </w:rPr>
        <w:t xml:space="preserve"> limitem nie są objęte: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6"/>
        <w:gridCol w:w="6900"/>
        <w:gridCol w:w="2062"/>
      </w:tblGrid>
      <w:tr w:rsidR="009E09E1" w:rsidRPr="009F10FD" w:rsidTr="00A0710F">
        <w:tc>
          <w:tcPr>
            <w:tcW w:w="296" w:type="dxa"/>
          </w:tcPr>
          <w:p w:rsidR="009E09E1" w:rsidRPr="00A74E59" w:rsidRDefault="009E09E1" w:rsidP="00A74E59">
            <w:pPr>
              <w:keepLines/>
              <w:rPr>
                <w:lang w:val="pl-PL"/>
              </w:rPr>
            </w:pPr>
            <w:r w:rsidRPr="00A74E59">
              <w:rPr>
                <w:lang w:val="pl-PL"/>
              </w:rPr>
              <w:t>-</w:t>
            </w:r>
          </w:p>
        </w:tc>
        <w:tc>
          <w:tcPr>
            <w:tcW w:w="6900" w:type="dxa"/>
          </w:tcPr>
          <w:p w:rsidR="009E09E1" w:rsidRPr="00A74E59" w:rsidRDefault="009E09E1" w:rsidP="00A74E59">
            <w:pPr>
              <w:keepLines/>
              <w:rPr>
                <w:lang w:val="pl-PL"/>
              </w:rPr>
            </w:pPr>
            <w:r w:rsidRPr="00A74E59">
              <w:rPr>
                <w:lang w:val="pl-PL"/>
              </w:rPr>
              <w:t>spłaty kapitału dotyczącego wkładu własnego w zadaniach posiadających dofinansowanie Unii Europejskiej (art. 243 ust. 3)</w:t>
            </w:r>
          </w:p>
        </w:tc>
        <w:tc>
          <w:tcPr>
            <w:tcW w:w="2062" w:type="dxa"/>
          </w:tcPr>
          <w:p w:rsidR="009E09E1" w:rsidRPr="00A74E59" w:rsidRDefault="009E09E1" w:rsidP="00A74E59">
            <w:pPr>
              <w:keepLines/>
              <w:jc w:val="right"/>
              <w:rPr>
                <w:lang w:val="pl-PL"/>
              </w:rPr>
            </w:pPr>
          </w:p>
          <w:p w:rsidR="009E09E1" w:rsidRPr="00A74E59" w:rsidRDefault="00A0710F" w:rsidP="00A74E59">
            <w:pPr>
              <w:keepLines/>
              <w:jc w:val="right"/>
              <w:rPr>
                <w:lang w:val="pl-PL"/>
              </w:rPr>
            </w:pPr>
            <w:r>
              <w:rPr>
                <w:lang w:val="pl-PL"/>
              </w:rPr>
              <w:t>873 501,85</w:t>
            </w:r>
            <w:r w:rsidR="009E09E1" w:rsidRPr="00A74E59">
              <w:rPr>
                <w:lang w:val="pl-PL"/>
              </w:rPr>
              <w:t xml:space="preserve"> zł</w:t>
            </w:r>
          </w:p>
        </w:tc>
      </w:tr>
      <w:tr w:rsidR="009E09E1" w:rsidRPr="009F10FD" w:rsidTr="00A0710F">
        <w:tc>
          <w:tcPr>
            <w:tcW w:w="296" w:type="dxa"/>
          </w:tcPr>
          <w:p w:rsidR="009E09E1" w:rsidRPr="00A74E59" w:rsidRDefault="009E09E1" w:rsidP="00A74E59">
            <w:pPr>
              <w:keepLines/>
              <w:rPr>
                <w:lang w:val="pl-PL"/>
              </w:rPr>
            </w:pPr>
            <w:r w:rsidRPr="00A74E59">
              <w:rPr>
                <w:lang w:val="pl-PL"/>
              </w:rPr>
              <w:t>-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:rsidR="009E09E1" w:rsidRPr="00A74E59" w:rsidRDefault="00A0710F" w:rsidP="00A74E59">
            <w:pPr>
              <w:keepLines/>
              <w:rPr>
                <w:lang w:val="pl-PL"/>
              </w:rPr>
            </w:pPr>
            <w:r>
              <w:rPr>
                <w:lang w:val="pl-PL"/>
              </w:rPr>
              <w:t>odsetki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E09E1" w:rsidRPr="00A74E59" w:rsidRDefault="00A0710F" w:rsidP="00A74E59">
            <w:pPr>
              <w:keepLines/>
              <w:jc w:val="right"/>
              <w:rPr>
                <w:lang w:val="pl-PL"/>
              </w:rPr>
            </w:pPr>
            <w:r>
              <w:rPr>
                <w:lang w:val="pl-PL"/>
              </w:rPr>
              <w:t>820 845,00</w:t>
            </w:r>
            <w:r w:rsidR="009E09E1" w:rsidRPr="00A74E59">
              <w:rPr>
                <w:lang w:val="pl-PL"/>
              </w:rPr>
              <w:t xml:space="preserve"> zł</w:t>
            </w:r>
          </w:p>
        </w:tc>
      </w:tr>
      <w:tr w:rsidR="009E09E1" w:rsidRPr="009F10FD" w:rsidTr="00A0710F">
        <w:tc>
          <w:tcPr>
            <w:tcW w:w="296" w:type="dxa"/>
          </w:tcPr>
          <w:p w:rsidR="009E09E1" w:rsidRPr="00A74E59" w:rsidRDefault="009E09E1" w:rsidP="00A74E59">
            <w:pPr>
              <w:keepLines/>
              <w:rPr>
                <w:lang w:val="pl-PL"/>
              </w:rPr>
            </w:pPr>
          </w:p>
        </w:tc>
        <w:tc>
          <w:tcPr>
            <w:tcW w:w="6900" w:type="dxa"/>
            <w:tcBorders>
              <w:top w:val="single" w:sz="4" w:space="0" w:color="auto"/>
            </w:tcBorders>
          </w:tcPr>
          <w:p w:rsidR="009E09E1" w:rsidRPr="00A74E59" w:rsidRDefault="009E09E1" w:rsidP="00A74E59">
            <w:pPr>
              <w:keepLines/>
              <w:rPr>
                <w:lang w:val="pl-PL"/>
              </w:rPr>
            </w:pPr>
            <w:r w:rsidRPr="00A74E59">
              <w:rPr>
                <w:lang w:val="pl-PL"/>
              </w:rPr>
              <w:t>Razem: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9E09E1" w:rsidRPr="00A74E59" w:rsidRDefault="00A0710F" w:rsidP="00A74E59">
            <w:pPr>
              <w:keepLines/>
              <w:jc w:val="right"/>
              <w:rPr>
                <w:lang w:val="pl-PL"/>
              </w:rPr>
            </w:pPr>
            <w:r>
              <w:rPr>
                <w:lang w:val="pl-PL"/>
              </w:rPr>
              <w:t>1 694 346,85 zł</w:t>
            </w:r>
          </w:p>
        </w:tc>
      </w:tr>
    </w:tbl>
    <w:p w:rsidR="009E09E1" w:rsidRDefault="009E09E1" w:rsidP="00AF51D8">
      <w:pPr>
        <w:keepLines/>
        <w:rPr>
          <w:lang w:val="pl-PL"/>
        </w:rPr>
      </w:pPr>
    </w:p>
    <w:p w:rsidR="009E09E1" w:rsidRDefault="009E09E1" w:rsidP="00AF51D8">
      <w:pPr>
        <w:keepLines/>
        <w:rPr>
          <w:lang w:val="pl-PL"/>
        </w:rPr>
      </w:pPr>
      <w:r>
        <w:rPr>
          <w:lang w:val="pl-PL"/>
        </w:rPr>
        <w:t>Zatem limitowane koszty obsługi zadłużenia w 201</w:t>
      </w:r>
      <w:r w:rsidR="00A600CF">
        <w:rPr>
          <w:lang w:val="pl-PL"/>
        </w:rPr>
        <w:t>6</w:t>
      </w:r>
      <w:r>
        <w:rPr>
          <w:lang w:val="pl-PL"/>
        </w:rPr>
        <w:t xml:space="preserve"> r. wyniosą </w:t>
      </w:r>
      <w:r w:rsidR="00A600CF">
        <w:rPr>
          <w:lang w:val="pl-PL"/>
        </w:rPr>
        <w:t>5 885 108,25</w:t>
      </w:r>
      <w:r>
        <w:rPr>
          <w:lang w:val="pl-PL"/>
        </w:rPr>
        <w:t xml:space="preserve"> zł, co stanowi 2,</w:t>
      </w:r>
      <w:r w:rsidR="00A600CF">
        <w:rPr>
          <w:lang w:val="pl-PL"/>
        </w:rPr>
        <w:t xml:space="preserve">45 </w:t>
      </w:r>
      <w:r>
        <w:rPr>
          <w:lang w:val="pl-PL"/>
        </w:rPr>
        <w:t>% dochodów.</w:t>
      </w:r>
    </w:p>
    <w:p w:rsidR="009E09E1" w:rsidRDefault="009E09E1" w:rsidP="00AF51D8">
      <w:pPr>
        <w:keepLines/>
        <w:rPr>
          <w:lang w:val="pl-PL"/>
        </w:rPr>
      </w:pPr>
      <w:r>
        <w:rPr>
          <w:lang w:val="pl-PL"/>
        </w:rPr>
        <w:t>Dopuszczalny wskaźnik obsługi długu limitowanego w 201</w:t>
      </w:r>
      <w:r w:rsidR="00A600CF">
        <w:rPr>
          <w:lang w:val="pl-PL"/>
        </w:rPr>
        <w:t>6</w:t>
      </w:r>
      <w:r>
        <w:rPr>
          <w:lang w:val="pl-PL"/>
        </w:rPr>
        <w:t xml:space="preserve"> r. wynosi </w:t>
      </w:r>
      <w:r w:rsidR="00A600CF">
        <w:rPr>
          <w:lang w:val="pl-PL"/>
        </w:rPr>
        <w:t xml:space="preserve">6,58 </w:t>
      </w:r>
      <w:r>
        <w:rPr>
          <w:lang w:val="pl-PL"/>
        </w:rPr>
        <w:t>%.</w:t>
      </w:r>
    </w:p>
    <w:p w:rsidR="009E09E1" w:rsidRDefault="009E09E1" w:rsidP="00AF51D8">
      <w:pPr>
        <w:keepLines/>
        <w:rPr>
          <w:lang w:val="pl-PL"/>
        </w:rPr>
      </w:pPr>
    </w:p>
    <w:p w:rsidR="009E09E1" w:rsidRDefault="009E09E1" w:rsidP="00AF51D8">
      <w:pPr>
        <w:keepLines/>
        <w:rPr>
          <w:lang w:val="pl-PL"/>
        </w:rPr>
      </w:pPr>
      <w:r>
        <w:rPr>
          <w:lang w:val="pl-PL"/>
        </w:rPr>
        <w:t>Powyższe wskazuje, że projekt budżetu na 201</w:t>
      </w:r>
      <w:r w:rsidR="00A600CF">
        <w:rPr>
          <w:lang w:val="pl-PL"/>
        </w:rPr>
        <w:t>6</w:t>
      </w:r>
      <w:r>
        <w:rPr>
          <w:lang w:val="pl-PL"/>
        </w:rPr>
        <w:t xml:space="preserve"> r. spełnia normę wynikającą z art. 243 ustawy o finansach publicznych. Jest ona również zachowana w następujących latach objętych prognozą.</w:t>
      </w:r>
    </w:p>
    <w:p w:rsidR="009E09E1" w:rsidRDefault="009E09E1" w:rsidP="00DC02B0">
      <w:pPr>
        <w:keepLines/>
        <w:rPr>
          <w:lang w:val="pl-PL"/>
        </w:rPr>
      </w:pPr>
    </w:p>
    <w:p w:rsidR="009E09E1" w:rsidRDefault="009E09E1" w:rsidP="00DC02B0">
      <w:pPr>
        <w:keepLines/>
        <w:rPr>
          <w:lang w:val="pl-PL"/>
        </w:rPr>
      </w:pPr>
      <w:r w:rsidRPr="00503CDE">
        <w:rPr>
          <w:lang w:val="pl-PL"/>
        </w:rPr>
        <w:t>Zgodnie z art. 230 ust. 1 ustawy z dnia 27 sierpnia 20</w:t>
      </w:r>
      <w:r>
        <w:rPr>
          <w:lang w:val="pl-PL"/>
        </w:rPr>
        <w:t>09</w:t>
      </w:r>
      <w:r w:rsidRPr="00503CDE">
        <w:rPr>
          <w:lang w:val="pl-PL"/>
        </w:rPr>
        <w:t xml:space="preserve"> r. o finan</w:t>
      </w:r>
      <w:r>
        <w:rPr>
          <w:lang w:val="pl-PL"/>
        </w:rPr>
        <w:t>sach publicznych, zwanej dalej „</w:t>
      </w:r>
      <w:r w:rsidRPr="00503CDE">
        <w:rPr>
          <w:lang w:val="pl-PL"/>
        </w:rPr>
        <w:t>ustawą", inicjatywa w sprawie sporządzenia projektu uchwały w sprawie wieloletniej prognozy finansowej i jej zmiany należy wyłącznie do zarządu jednostki samorządu terytorialnego. </w:t>
      </w:r>
    </w:p>
    <w:p w:rsidR="009E09E1" w:rsidRPr="00503CDE" w:rsidRDefault="009E09E1" w:rsidP="00AF51D8">
      <w:pPr>
        <w:keepLines/>
        <w:ind w:firstLine="850"/>
        <w:rPr>
          <w:lang w:val="pl-PL"/>
        </w:rPr>
      </w:pPr>
    </w:p>
    <w:p w:rsidR="009E09E1" w:rsidRDefault="009E09E1" w:rsidP="0024420E">
      <w:pPr>
        <w:keepLines/>
        <w:rPr>
          <w:lang w:val="pl-PL"/>
        </w:rPr>
      </w:pPr>
      <w:r w:rsidRPr="00503CDE">
        <w:rPr>
          <w:lang w:val="pl-PL"/>
        </w:rPr>
        <w:t>Uchwałę w sprawie wieloletniej prognozy finansowej organ stanowiący jednostki samorządu terytorialnego podejmuje nie później niż uchwałę budżetową (art. 230 ust.6 ustawy). </w:t>
      </w:r>
    </w:p>
    <w:p w:rsidR="009E09E1" w:rsidRPr="00503CDE" w:rsidRDefault="009E09E1" w:rsidP="00AF51D8">
      <w:pPr>
        <w:keepLines/>
        <w:ind w:firstLine="850"/>
        <w:rPr>
          <w:lang w:val="pl-PL"/>
        </w:rPr>
      </w:pPr>
    </w:p>
    <w:p w:rsidR="009E09E1" w:rsidRDefault="009E09E1" w:rsidP="0024420E">
      <w:pPr>
        <w:keepLines/>
        <w:rPr>
          <w:lang w:val="pl-PL"/>
        </w:rPr>
      </w:pPr>
      <w:r w:rsidRPr="00503CDE">
        <w:rPr>
          <w:lang w:val="pl-PL"/>
        </w:rPr>
        <w:t>Wieloletnia prognoza finansowa</w:t>
      </w:r>
      <w:r>
        <w:rPr>
          <w:lang w:val="pl-PL"/>
        </w:rPr>
        <w:t xml:space="preserve"> – </w:t>
      </w:r>
      <w:r w:rsidRPr="00503CDE">
        <w:rPr>
          <w:lang w:val="pl-PL"/>
        </w:rPr>
        <w:t xml:space="preserve"> stosownie do art. 226 ust. 1 ustawy </w:t>
      </w:r>
      <w:r>
        <w:rPr>
          <w:lang w:val="pl-PL"/>
        </w:rPr>
        <w:t xml:space="preserve">– </w:t>
      </w:r>
      <w:r w:rsidRPr="00503CDE">
        <w:rPr>
          <w:lang w:val="pl-PL"/>
        </w:rPr>
        <w:t xml:space="preserve"> powinna być realistyczna i określać dla każdego roku objętego prognozą co najmniej: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5"/>
        <w:gridCol w:w="8833"/>
      </w:tblGrid>
      <w:tr w:rsidR="009E09E1" w:rsidRPr="00D44578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1)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dochody bieżące oraz wydatki bieżące budżetu jednostki samorządu terytorialnego, w tym na obsługę długu, gwarancje i poręczenia; </w:t>
            </w:r>
          </w:p>
        </w:tc>
      </w:tr>
      <w:tr w:rsidR="009E09E1" w:rsidRPr="00D44578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2)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 xml:space="preserve">dochody majątkowe, w tym dochody ze sprzedaży majątku, oraz wydatki majątkowe budżetu jednostki samorządu terytorialnego;  </w:t>
            </w:r>
          </w:p>
        </w:tc>
      </w:tr>
      <w:tr w:rsidR="009E09E1" w:rsidRPr="00D44578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3)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wynik budżetu jednostki samorządu terytorialnego; </w:t>
            </w:r>
          </w:p>
        </w:tc>
      </w:tr>
      <w:tr w:rsidR="009E09E1" w:rsidRPr="00D44578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4) 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przeznaczenie nadwyżki albo sposób sfinansowania deficytu; </w:t>
            </w:r>
          </w:p>
        </w:tc>
      </w:tr>
      <w:tr w:rsidR="009E09E1" w:rsidRPr="00D44578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5)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przychody i rozchody budżetu jednostki samorządu terytorialnego, z uwzględnieniem długu zaciągniętego oraz planowanego do zaciągnięcia; </w:t>
            </w:r>
          </w:p>
        </w:tc>
      </w:tr>
      <w:tr w:rsidR="009E09E1" w:rsidRPr="00D44578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6)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kwotę długu jednostki samorządu terytorialnego, w tym relację, o której mowa w art. 243, oraz sposób sfinansowania spłaty długu; </w:t>
            </w:r>
          </w:p>
        </w:tc>
      </w:tr>
      <w:tr w:rsidR="009E09E1" w:rsidTr="00A74E59">
        <w:tc>
          <w:tcPr>
            <w:tcW w:w="290" w:type="dxa"/>
          </w:tcPr>
          <w:p w:rsidR="009E09E1" w:rsidRPr="00A74E59" w:rsidRDefault="009E09E1" w:rsidP="00A74E59">
            <w:pPr>
              <w:keepLines/>
              <w:jc w:val="center"/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7)</w:t>
            </w:r>
          </w:p>
        </w:tc>
        <w:tc>
          <w:tcPr>
            <w:tcW w:w="8962" w:type="dxa"/>
          </w:tcPr>
          <w:p w:rsidR="009E09E1" w:rsidRPr="00A74E59" w:rsidRDefault="009E09E1" w:rsidP="0011784E">
            <w:pPr>
              <w:rPr>
                <w:lang w:val="pl-PL"/>
              </w:rPr>
            </w:pPr>
            <w:r w:rsidRPr="00A74E59">
              <w:rPr>
                <w:sz w:val="22"/>
                <w:szCs w:val="22"/>
                <w:lang w:val="pl-PL"/>
              </w:rPr>
              <w:t>objaśnienia przyjętych wartości. </w:t>
            </w:r>
          </w:p>
        </w:tc>
      </w:tr>
    </w:tbl>
    <w:p w:rsidR="009E09E1" w:rsidRDefault="009E09E1" w:rsidP="0011784E">
      <w:pPr>
        <w:keepLines/>
        <w:rPr>
          <w:lang w:val="pl-PL"/>
        </w:rPr>
      </w:pPr>
    </w:p>
    <w:p w:rsidR="009E09E1" w:rsidRDefault="009E09E1" w:rsidP="0011784E">
      <w:pPr>
        <w:keepLines/>
        <w:rPr>
          <w:lang w:val="pl-PL"/>
        </w:rPr>
      </w:pPr>
      <w:r w:rsidRPr="00503CDE">
        <w:rPr>
          <w:lang w:val="pl-PL"/>
        </w:rPr>
        <w:lastRenderedPageBreak/>
        <w:t xml:space="preserve">Wieloletnia prognoza finansowa obejmuje </w:t>
      </w:r>
      <w:r>
        <w:rPr>
          <w:lang w:val="pl-PL"/>
        </w:rPr>
        <w:t>–</w:t>
      </w:r>
      <w:r w:rsidRPr="00503CDE">
        <w:rPr>
          <w:lang w:val="pl-PL"/>
        </w:rPr>
        <w:t xml:space="preserve"> zgodnie z art. 227 ust. 1 ustawy </w:t>
      </w:r>
      <w:r>
        <w:rPr>
          <w:lang w:val="pl-PL"/>
        </w:rPr>
        <w:t>–</w:t>
      </w:r>
      <w:r w:rsidRPr="00503CDE">
        <w:rPr>
          <w:lang w:val="pl-PL"/>
        </w:rPr>
        <w:t xml:space="preserve"> okres roku budżetowego oraz co najmniej trzech kolejnych lat. Okres objęty wieloletnią prognozą finansową nie może być jednak krótszy niż okres, na jaki przyjęto limity wydatków, o których mowa w art. 226 ust. 3 pkt 4. </w:t>
      </w:r>
    </w:p>
    <w:p w:rsidR="009E09E1" w:rsidRDefault="009E09E1" w:rsidP="0011784E">
      <w:pPr>
        <w:keepLines/>
        <w:rPr>
          <w:lang w:val="pl-PL"/>
        </w:rPr>
      </w:pPr>
    </w:p>
    <w:p w:rsidR="009E09E1" w:rsidRPr="00503CDE" w:rsidRDefault="009E09E1" w:rsidP="0011784E">
      <w:pPr>
        <w:keepLines/>
        <w:rPr>
          <w:lang w:val="pl-PL"/>
        </w:rPr>
      </w:pPr>
      <w:r w:rsidRPr="00503CDE">
        <w:rPr>
          <w:lang w:val="pl-PL"/>
        </w:rPr>
        <w:t>Uchwała w sprawie wieloletniej prognozy finansowej może zawierać upoważnienie dla zarządu jednostki samorządu terytorialnego do zaciągania zobowiązań: </w:t>
      </w:r>
    </w:p>
    <w:p w:rsidR="009E09E1" w:rsidRPr="00503CDE" w:rsidRDefault="009E09E1" w:rsidP="00FF292F">
      <w:pPr>
        <w:rPr>
          <w:lang w:val="pl-PL"/>
        </w:rPr>
      </w:pPr>
      <w:r w:rsidRPr="00503CDE">
        <w:rPr>
          <w:lang w:val="pl-PL"/>
        </w:rPr>
        <w:t>1) związanych z realizacją zamieszczonych w niej przedsięwzięć; </w:t>
      </w:r>
    </w:p>
    <w:p w:rsidR="009E09E1" w:rsidRDefault="009E09E1" w:rsidP="00FF292F">
      <w:pPr>
        <w:rPr>
          <w:lang w:val="pl-PL"/>
        </w:rPr>
      </w:pPr>
      <w:r w:rsidRPr="00503CDE">
        <w:rPr>
          <w:lang w:val="pl-PL"/>
        </w:rPr>
        <w:t>2) z tytułu umów, których realizacja w roku budżetowym i w latach następnych jest niezbędna do zapewnienia ciągłości działania jednostki i z których wynikające płatności wykraczają poza rok budżetowy (art.228 ust. 1 ustawy). </w:t>
      </w:r>
    </w:p>
    <w:p w:rsidR="009E09E1" w:rsidRPr="00503CDE" w:rsidRDefault="009E09E1" w:rsidP="00AF51D8">
      <w:pPr>
        <w:ind w:firstLine="850"/>
        <w:rPr>
          <w:lang w:val="pl-PL"/>
        </w:rPr>
      </w:pPr>
    </w:p>
    <w:p w:rsidR="009E09E1" w:rsidRDefault="009E09E1" w:rsidP="00FF292F">
      <w:pPr>
        <w:keepLines/>
        <w:rPr>
          <w:lang w:val="pl-PL"/>
        </w:rPr>
      </w:pPr>
      <w:r>
        <w:rPr>
          <w:lang w:val="pl-PL"/>
        </w:rPr>
        <w:t xml:space="preserve">Na mocy </w:t>
      </w:r>
      <w:r w:rsidRPr="00503CDE">
        <w:rPr>
          <w:lang w:val="pl-PL"/>
        </w:rPr>
        <w:t xml:space="preserve">art. 228 ust. 2 ustawy </w:t>
      </w:r>
      <w:r>
        <w:rPr>
          <w:lang w:val="pl-PL"/>
        </w:rPr>
        <w:t>organ</w:t>
      </w:r>
      <w:r w:rsidRPr="00503CDE">
        <w:rPr>
          <w:lang w:val="pl-PL"/>
        </w:rPr>
        <w:t xml:space="preserve"> stanowiąc</w:t>
      </w:r>
      <w:r>
        <w:rPr>
          <w:lang w:val="pl-PL"/>
        </w:rPr>
        <w:t>y</w:t>
      </w:r>
      <w:r w:rsidRPr="00503CDE">
        <w:rPr>
          <w:lang w:val="pl-PL"/>
        </w:rPr>
        <w:t xml:space="preserve"> jednostki samorządu terytorialnego moż</w:t>
      </w:r>
      <w:r>
        <w:rPr>
          <w:lang w:val="pl-PL"/>
        </w:rPr>
        <w:t>e</w:t>
      </w:r>
      <w:r w:rsidRPr="00503CDE">
        <w:rPr>
          <w:lang w:val="pl-PL"/>
        </w:rPr>
        <w:t xml:space="preserve"> upoważni</w:t>
      </w:r>
      <w:r>
        <w:rPr>
          <w:lang w:val="pl-PL"/>
        </w:rPr>
        <w:t>ć</w:t>
      </w:r>
      <w:r w:rsidRPr="00503CDE">
        <w:rPr>
          <w:lang w:val="pl-PL"/>
        </w:rPr>
        <w:t xml:space="preserve"> zarząd tej jednostki do przekazania uprawnień kierownikom jednostek organizacyjnych jednostki samorządu terytorialnego do zaciągania zobowiązań, o których mowa w ust. 1. </w:t>
      </w:r>
    </w:p>
    <w:p w:rsidR="009E09E1" w:rsidRPr="00503CDE" w:rsidRDefault="009E09E1" w:rsidP="00AF51D8">
      <w:pPr>
        <w:keepLines/>
        <w:ind w:firstLine="850"/>
        <w:rPr>
          <w:lang w:val="pl-PL"/>
        </w:rPr>
      </w:pPr>
    </w:p>
    <w:p w:rsidR="009E09E1" w:rsidRDefault="009E09E1" w:rsidP="00FF292F">
      <w:pPr>
        <w:keepLines/>
        <w:rPr>
          <w:lang w:val="pl-PL"/>
        </w:rPr>
      </w:pPr>
      <w:r w:rsidRPr="00503CDE">
        <w:rPr>
          <w:lang w:val="pl-PL"/>
        </w:rPr>
        <w:t>W tej sytuacji wywołanie uchwały jest uzasadnione. Inicjatorem wywołania uchwały jest Prezydent Miasta Inowrocławia. </w:t>
      </w:r>
    </w:p>
    <w:p w:rsidR="00710BA7" w:rsidRDefault="00710BA7" w:rsidP="00AF51D8">
      <w:pPr>
        <w:rPr>
          <w:lang w:val="pl-PL"/>
        </w:rPr>
      </w:pPr>
    </w:p>
    <w:p w:rsidR="00710BA7" w:rsidRDefault="00710BA7" w:rsidP="00710BA7">
      <w:pPr>
        <w:ind w:right="-82" w:firstLine="708"/>
      </w:pPr>
      <w:r w:rsidRPr="006B142E">
        <w:t xml:space="preserve">Rada </w:t>
      </w:r>
      <w:r w:rsidRPr="00990C85">
        <w:rPr>
          <w:lang w:val="pl-PL"/>
        </w:rPr>
        <w:t>Miejska</w:t>
      </w:r>
      <w:r w:rsidRPr="006B142E">
        <w:t xml:space="preserve"> </w:t>
      </w:r>
      <w:r w:rsidRPr="00990C85">
        <w:rPr>
          <w:lang w:val="pl-PL"/>
        </w:rPr>
        <w:t>Inowrocławia</w:t>
      </w:r>
      <w:r w:rsidRPr="006B142E">
        <w:t xml:space="preserve"> </w:t>
      </w:r>
      <w:r w:rsidRPr="00990C85">
        <w:rPr>
          <w:lang w:val="pl-PL"/>
        </w:rPr>
        <w:t>podjęła</w:t>
      </w:r>
      <w:r w:rsidRPr="006B142E">
        <w:t xml:space="preserve"> </w:t>
      </w:r>
      <w:r w:rsidRPr="00990C85">
        <w:rPr>
          <w:lang w:val="pl-PL"/>
        </w:rPr>
        <w:t>uchwałę</w:t>
      </w:r>
      <w:r w:rsidRPr="006B142E">
        <w:t xml:space="preserve"> w </w:t>
      </w:r>
      <w:r w:rsidRPr="00990C85">
        <w:rPr>
          <w:lang w:val="pl-PL"/>
        </w:rPr>
        <w:t>sprawie</w:t>
      </w:r>
      <w:r w:rsidRPr="006B142E">
        <w:t xml:space="preserve"> </w:t>
      </w:r>
      <w:r w:rsidRPr="00990C85">
        <w:rPr>
          <w:lang w:val="pl-PL"/>
        </w:rPr>
        <w:t>Wieloletniej</w:t>
      </w:r>
      <w:r w:rsidRPr="006B142E">
        <w:t xml:space="preserve"> </w:t>
      </w:r>
      <w:r w:rsidRPr="00990C85">
        <w:rPr>
          <w:lang w:val="pl-PL"/>
        </w:rPr>
        <w:t>Prognozy</w:t>
      </w:r>
      <w:r w:rsidRPr="006B142E">
        <w:t xml:space="preserve"> </w:t>
      </w:r>
      <w:r w:rsidRPr="00990C85">
        <w:rPr>
          <w:lang w:val="pl-PL"/>
        </w:rPr>
        <w:t>Finansowej</w:t>
      </w:r>
      <w:r w:rsidRPr="006B142E">
        <w:t xml:space="preserve"> </w:t>
      </w:r>
      <w:r w:rsidRPr="00990C85">
        <w:rPr>
          <w:lang w:val="pl-PL"/>
        </w:rPr>
        <w:t>Miasta</w:t>
      </w:r>
      <w:r w:rsidRPr="006B142E">
        <w:t xml:space="preserve"> </w:t>
      </w:r>
      <w:r w:rsidRPr="00990C85">
        <w:rPr>
          <w:lang w:val="pl-PL"/>
        </w:rPr>
        <w:t>Inowrocławia</w:t>
      </w:r>
      <w:r>
        <w:t xml:space="preserve"> </w:t>
      </w:r>
      <w:r w:rsidRPr="00990C85">
        <w:rPr>
          <w:lang w:val="pl-PL"/>
        </w:rPr>
        <w:t>na</w:t>
      </w:r>
      <w:r>
        <w:t xml:space="preserve"> </w:t>
      </w:r>
      <w:r w:rsidRPr="00990C85">
        <w:rPr>
          <w:lang w:val="pl-PL"/>
        </w:rPr>
        <w:t>lata</w:t>
      </w:r>
      <w:r>
        <w:t xml:space="preserve"> 2016</w:t>
      </w:r>
      <w:r w:rsidRPr="006B142E">
        <w:t xml:space="preserve">-2028 w </w:t>
      </w:r>
      <w:r w:rsidRPr="00990C85">
        <w:rPr>
          <w:lang w:val="pl-PL"/>
        </w:rPr>
        <w:t>głosowaniu</w:t>
      </w:r>
      <w:r w:rsidRPr="006B142E">
        <w:t xml:space="preserve"> </w:t>
      </w:r>
      <w:r w:rsidRPr="00990C85">
        <w:rPr>
          <w:lang w:val="pl-PL"/>
        </w:rPr>
        <w:t>jawnym</w:t>
      </w:r>
      <w:r w:rsidRPr="006B142E">
        <w:t>.</w:t>
      </w:r>
    </w:p>
    <w:p w:rsidR="00710BA7" w:rsidRPr="00990C85" w:rsidRDefault="00710BA7" w:rsidP="00710BA7">
      <w:pPr>
        <w:ind w:right="-82" w:firstLine="708"/>
        <w:rPr>
          <w:sz w:val="16"/>
          <w:szCs w:val="16"/>
        </w:rPr>
      </w:pPr>
    </w:p>
    <w:p w:rsidR="00710BA7" w:rsidRPr="00802CF6" w:rsidRDefault="00710BA7" w:rsidP="00990C85">
      <w:pPr>
        <w:ind w:right="-82" w:firstLine="708"/>
      </w:pPr>
      <w:r w:rsidRPr="00802CF6">
        <w:t xml:space="preserve">Na 23 </w:t>
      </w:r>
      <w:r w:rsidRPr="00990C85">
        <w:rPr>
          <w:lang w:val="pl-PL"/>
        </w:rPr>
        <w:t>radnych</w:t>
      </w:r>
      <w:r w:rsidRPr="00802CF6">
        <w:t xml:space="preserve"> w </w:t>
      </w:r>
      <w:r w:rsidRPr="00990C85">
        <w:rPr>
          <w:lang w:val="pl-PL"/>
        </w:rPr>
        <w:t>głosowaniu</w:t>
      </w:r>
      <w:r w:rsidRPr="00802CF6">
        <w:t xml:space="preserve"> </w:t>
      </w:r>
      <w:r w:rsidRPr="00990C85">
        <w:rPr>
          <w:lang w:val="pl-PL"/>
        </w:rPr>
        <w:t>wzięło</w:t>
      </w:r>
      <w:r w:rsidRPr="00802CF6">
        <w:t xml:space="preserve"> </w:t>
      </w:r>
      <w:r w:rsidRPr="00990C85">
        <w:rPr>
          <w:lang w:val="pl-PL"/>
        </w:rPr>
        <w:t>udział</w:t>
      </w:r>
      <w:r w:rsidRPr="00802CF6">
        <w:t xml:space="preserve"> </w:t>
      </w:r>
      <w:r w:rsidR="00990C85">
        <w:t>19</w:t>
      </w:r>
      <w:r w:rsidRPr="00802CF6">
        <w:t xml:space="preserve"> </w:t>
      </w:r>
      <w:r w:rsidRPr="00990C85">
        <w:rPr>
          <w:lang w:val="pl-PL"/>
        </w:rPr>
        <w:t>radnych</w:t>
      </w:r>
      <w:r>
        <w:t xml:space="preserve"> </w:t>
      </w:r>
      <w:r w:rsidRPr="00990C85">
        <w:rPr>
          <w:lang w:val="pl-PL"/>
        </w:rPr>
        <w:t>obecnych</w:t>
      </w:r>
      <w:r>
        <w:t xml:space="preserve"> </w:t>
      </w:r>
      <w:r w:rsidRPr="00990C85">
        <w:rPr>
          <w:lang w:val="pl-PL"/>
        </w:rPr>
        <w:t>na</w:t>
      </w:r>
      <w:r>
        <w:t xml:space="preserve"> </w:t>
      </w:r>
      <w:r w:rsidRPr="00990C85">
        <w:rPr>
          <w:lang w:val="pl-PL"/>
        </w:rPr>
        <w:t>sesji</w:t>
      </w:r>
      <w:r>
        <w:t>.</w:t>
      </w:r>
      <w:r w:rsidRPr="00802CF6">
        <w:t xml:space="preserve"> </w:t>
      </w:r>
      <w:r w:rsidR="003F6601">
        <w:t xml:space="preserve">                         </w:t>
      </w:r>
      <w:r w:rsidRPr="00990C85">
        <w:rPr>
          <w:lang w:val="pl-PL"/>
        </w:rPr>
        <w:t>Za</w:t>
      </w:r>
      <w:r w:rsidRPr="00802CF6">
        <w:t xml:space="preserve"> </w:t>
      </w:r>
      <w:r w:rsidRPr="00990C85">
        <w:rPr>
          <w:lang w:val="pl-PL"/>
        </w:rPr>
        <w:t>przyjęciem</w:t>
      </w:r>
      <w:r w:rsidRPr="00802CF6">
        <w:t xml:space="preserve"> </w:t>
      </w:r>
      <w:r w:rsidRPr="00990C85">
        <w:rPr>
          <w:lang w:val="pl-PL"/>
        </w:rPr>
        <w:t>uchwały</w:t>
      </w:r>
      <w:r w:rsidRPr="00802CF6">
        <w:t xml:space="preserve"> </w:t>
      </w:r>
      <w:r w:rsidRPr="00990C85">
        <w:rPr>
          <w:lang w:val="pl-PL"/>
        </w:rPr>
        <w:t>głosowało</w:t>
      </w:r>
      <w:r w:rsidR="00990C85">
        <w:t xml:space="preserve"> 12 </w:t>
      </w:r>
      <w:r w:rsidRPr="00990C85">
        <w:rPr>
          <w:lang w:val="pl-PL"/>
        </w:rPr>
        <w:t>radnych</w:t>
      </w:r>
      <w:r w:rsidRPr="00802CF6">
        <w:t xml:space="preserve">, </w:t>
      </w:r>
      <w:r w:rsidRPr="00990C85">
        <w:rPr>
          <w:lang w:val="pl-PL"/>
        </w:rPr>
        <w:t>głosy</w:t>
      </w:r>
      <w:r w:rsidRPr="00802CF6">
        <w:t xml:space="preserve"> </w:t>
      </w:r>
      <w:r w:rsidRPr="00990C85">
        <w:rPr>
          <w:lang w:val="pl-PL"/>
        </w:rPr>
        <w:t>przeciwne</w:t>
      </w:r>
      <w:r w:rsidRPr="00802CF6">
        <w:t xml:space="preserve"> - </w:t>
      </w:r>
      <w:r w:rsidR="00990C85">
        <w:t xml:space="preserve"> 4</w:t>
      </w:r>
      <w:r w:rsidRPr="00802CF6">
        <w:t xml:space="preserve">, </w:t>
      </w:r>
      <w:r w:rsidRPr="00990C85">
        <w:rPr>
          <w:lang w:val="pl-PL"/>
        </w:rPr>
        <w:t>wstrzymujących</w:t>
      </w:r>
      <w:r w:rsidRPr="00802CF6">
        <w:t xml:space="preserve"> </w:t>
      </w:r>
      <w:r w:rsidRPr="00990C85">
        <w:rPr>
          <w:lang w:val="pl-PL"/>
        </w:rPr>
        <w:t>się</w:t>
      </w:r>
      <w:r w:rsidRPr="00802CF6">
        <w:t xml:space="preserve"> </w:t>
      </w:r>
      <w:r w:rsidR="00990C85">
        <w:t>–</w:t>
      </w:r>
      <w:r w:rsidRPr="00802CF6">
        <w:t xml:space="preserve"> </w:t>
      </w:r>
      <w:r w:rsidR="00990C85">
        <w:t>3.</w:t>
      </w:r>
    </w:p>
    <w:p w:rsidR="00710BA7" w:rsidRDefault="00710BA7" w:rsidP="00AF51D8">
      <w:pPr>
        <w:rPr>
          <w:lang w:val="pl-PL"/>
        </w:rPr>
      </w:pPr>
    </w:p>
    <w:p w:rsidR="009E09E1" w:rsidRPr="00F63789" w:rsidRDefault="009E09E1" w:rsidP="00AF51D8">
      <w:pPr>
        <w:rPr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09E1" w:rsidRPr="00D44578" w:rsidTr="00D12269"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9E09E1" w:rsidRDefault="00710BA7" w:rsidP="00D12269">
            <w:pPr>
              <w:pStyle w:val="Tekstpodstawowy2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710BA7" w:rsidRDefault="00710BA7" w:rsidP="00D12269">
            <w:pPr>
              <w:pStyle w:val="Tekstpodstawowy2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A600CF" w:rsidRPr="00710BA7" w:rsidRDefault="00A600CF" w:rsidP="00710BA7">
            <w:pPr>
              <w:pStyle w:val="Tekstpodstawowy2"/>
              <w:spacing w:after="0" w:line="240" w:lineRule="auto"/>
              <w:rPr>
                <w:b/>
                <w:sz w:val="40"/>
                <w:szCs w:val="40"/>
                <w:lang w:val="pl-PL"/>
              </w:rPr>
            </w:pPr>
          </w:p>
          <w:p w:rsidR="009E09E1" w:rsidRPr="00F63789" w:rsidRDefault="00710BA7" w:rsidP="00D12269">
            <w:pPr>
              <w:pStyle w:val="Tekstpodstawowy2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 xml:space="preserve">Tomasz Marcinkowski </w:t>
            </w:r>
          </w:p>
        </w:tc>
      </w:tr>
    </w:tbl>
    <w:p w:rsidR="009E09E1" w:rsidRPr="00503CDE" w:rsidRDefault="009E09E1" w:rsidP="00AF51D8">
      <w:pPr>
        <w:spacing w:after="100" w:afterAutospacing="1"/>
        <w:rPr>
          <w:lang w:val="pl-PL"/>
        </w:rPr>
      </w:pPr>
    </w:p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A7" w:rsidRDefault="00710BA7">
      <w:r>
        <w:separator/>
      </w:r>
    </w:p>
  </w:endnote>
  <w:endnote w:type="continuationSeparator" w:id="0">
    <w:p w:rsidR="00710BA7" w:rsidRDefault="0071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A7" w:rsidRDefault="00710BA7">
      <w:r>
        <w:separator/>
      </w:r>
    </w:p>
  </w:footnote>
  <w:footnote w:type="continuationSeparator" w:id="0">
    <w:p w:rsidR="00710BA7" w:rsidRDefault="0071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A7" w:rsidRDefault="00710BA7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0BA7" w:rsidRDefault="00710BA7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A7" w:rsidRDefault="00710BA7" w:rsidP="00CC378B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EE4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710BA7" w:rsidRDefault="00710BA7" w:rsidP="00CC378B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1D8"/>
    <w:rsid w:val="000171C5"/>
    <w:rsid w:val="0003663D"/>
    <w:rsid w:val="0004180E"/>
    <w:rsid w:val="00064B83"/>
    <w:rsid w:val="00065344"/>
    <w:rsid w:val="00077849"/>
    <w:rsid w:val="00095C38"/>
    <w:rsid w:val="0009691A"/>
    <w:rsid w:val="00100187"/>
    <w:rsid w:val="00100907"/>
    <w:rsid w:val="0011784E"/>
    <w:rsid w:val="00130FB7"/>
    <w:rsid w:val="001805A8"/>
    <w:rsid w:val="00191EBB"/>
    <w:rsid w:val="001B4F39"/>
    <w:rsid w:val="001E6B79"/>
    <w:rsid w:val="001E6FBB"/>
    <w:rsid w:val="00210A28"/>
    <w:rsid w:val="0024420E"/>
    <w:rsid w:val="00247BF7"/>
    <w:rsid w:val="00251449"/>
    <w:rsid w:val="002528A2"/>
    <w:rsid w:val="002924A6"/>
    <w:rsid w:val="002B1CB6"/>
    <w:rsid w:val="002D681A"/>
    <w:rsid w:val="00310F00"/>
    <w:rsid w:val="00340D88"/>
    <w:rsid w:val="00361DA2"/>
    <w:rsid w:val="00373227"/>
    <w:rsid w:val="003A1C75"/>
    <w:rsid w:val="003B06DC"/>
    <w:rsid w:val="003B4D4C"/>
    <w:rsid w:val="003B5C05"/>
    <w:rsid w:val="003F55E6"/>
    <w:rsid w:val="003F6601"/>
    <w:rsid w:val="0043283F"/>
    <w:rsid w:val="00445F96"/>
    <w:rsid w:val="004615E0"/>
    <w:rsid w:val="00461856"/>
    <w:rsid w:val="004665F8"/>
    <w:rsid w:val="0047034A"/>
    <w:rsid w:val="004726CB"/>
    <w:rsid w:val="00481A82"/>
    <w:rsid w:val="00493B0E"/>
    <w:rsid w:val="004B284D"/>
    <w:rsid w:val="00503CDE"/>
    <w:rsid w:val="00521B86"/>
    <w:rsid w:val="00533649"/>
    <w:rsid w:val="00544251"/>
    <w:rsid w:val="00544804"/>
    <w:rsid w:val="00566733"/>
    <w:rsid w:val="005B1701"/>
    <w:rsid w:val="005C0787"/>
    <w:rsid w:val="005D26B3"/>
    <w:rsid w:val="0062095C"/>
    <w:rsid w:val="006438C8"/>
    <w:rsid w:val="00654B4F"/>
    <w:rsid w:val="00670937"/>
    <w:rsid w:val="00693F6B"/>
    <w:rsid w:val="00695C0E"/>
    <w:rsid w:val="006C47FC"/>
    <w:rsid w:val="006C76AB"/>
    <w:rsid w:val="00710BA7"/>
    <w:rsid w:val="00726999"/>
    <w:rsid w:val="00732779"/>
    <w:rsid w:val="007416FE"/>
    <w:rsid w:val="00757AFA"/>
    <w:rsid w:val="0077252E"/>
    <w:rsid w:val="00774D9C"/>
    <w:rsid w:val="00783488"/>
    <w:rsid w:val="007875CE"/>
    <w:rsid w:val="007D1183"/>
    <w:rsid w:val="007E67F1"/>
    <w:rsid w:val="007F1096"/>
    <w:rsid w:val="007F1E68"/>
    <w:rsid w:val="0081328D"/>
    <w:rsid w:val="00816B8C"/>
    <w:rsid w:val="00817CD1"/>
    <w:rsid w:val="00821FDE"/>
    <w:rsid w:val="008375DD"/>
    <w:rsid w:val="00865F90"/>
    <w:rsid w:val="00877E68"/>
    <w:rsid w:val="00881DDC"/>
    <w:rsid w:val="0090316B"/>
    <w:rsid w:val="00921A76"/>
    <w:rsid w:val="009737EE"/>
    <w:rsid w:val="009747B4"/>
    <w:rsid w:val="00990C85"/>
    <w:rsid w:val="009E09E1"/>
    <w:rsid w:val="009F10FD"/>
    <w:rsid w:val="009F6D0A"/>
    <w:rsid w:val="00A0710F"/>
    <w:rsid w:val="00A271F0"/>
    <w:rsid w:val="00A36EBF"/>
    <w:rsid w:val="00A45FCF"/>
    <w:rsid w:val="00A600CF"/>
    <w:rsid w:val="00A74E59"/>
    <w:rsid w:val="00A87B86"/>
    <w:rsid w:val="00AC3C7A"/>
    <w:rsid w:val="00AD682B"/>
    <w:rsid w:val="00AF51D8"/>
    <w:rsid w:val="00B14EAE"/>
    <w:rsid w:val="00B41E87"/>
    <w:rsid w:val="00B5036A"/>
    <w:rsid w:val="00B579A9"/>
    <w:rsid w:val="00B65728"/>
    <w:rsid w:val="00B71B48"/>
    <w:rsid w:val="00B754F9"/>
    <w:rsid w:val="00B80670"/>
    <w:rsid w:val="00B8246D"/>
    <w:rsid w:val="00B923D3"/>
    <w:rsid w:val="00B927E1"/>
    <w:rsid w:val="00BB61B6"/>
    <w:rsid w:val="00BE2DA4"/>
    <w:rsid w:val="00C04F15"/>
    <w:rsid w:val="00C34E26"/>
    <w:rsid w:val="00C45D76"/>
    <w:rsid w:val="00C6773E"/>
    <w:rsid w:val="00CC378B"/>
    <w:rsid w:val="00CC6EE4"/>
    <w:rsid w:val="00CE2139"/>
    <w:rsid w:val="00CF0DD1"/>
    <w:rsid w:val="00CF6A64"/>
    <w:rsid w:val="00D12269"/>
    <w:rsid w:val="00D21AFB"/>
    <w:rsid w:val="00D3332D"/>
    <w:rsid w:val="00D43E82"/>
    <w:rsid w:val="00D44578"/>
    <w:rsid w:val="00D84E5C"/>
    <w:rsid w:val="00D97162"/>
    <w:rsid w:val="00DB6F9C"/>
    <w:rsid w:val="00DC02B0"/>
    <w:rsid w:val="00DD7F97"/>
    <w:rsid w:val="00DE1C81"/>
    <w:rsid w:val="00DE3A60"/>
    <w:rsid w:val="00DF3972"/>
    <w:rsid w:val="00DF3AFD"/>
    <w:rsid w:val="00DF4E3A"/>
    <w:rsid w:val="00E01567"/>
    <w:rsid w:val="00E279FF"/>
    <w:rsid w:val="00E31882"/>
    <w:rsid w:val="00E32821"/>
    <w:rsid w:val="00E45FB7"/>
    <w:rsid w:val="00E85315"/>
    <w:rsid w:val="00E9439A"/>
    <w:rsid w:val="00EA0E1A"/>
    <w:rsid w:val="00EA150F"/>
    <w:rsid w:val="00EC4717"/>
    <w:rsid w:val="00ED6575"/>
    <w:rsid w:val="00F079A9"/>
    <w:rsid w:val="00F242F2"/>
    <w:rsid w:val="00F26096"/>
    <w:rsid w:val="00F34599"/>
    <w:rsid w:val="00F3794C"/>
    <w:rsid w:val="00F44878"/>
    <w:rsid w:val="00F503A4"/>
    <w:rsid w:val="00F51A50"/>
    <w:rsid w:val="00F63789"/>
    <w:rsid w:val="00F672B7"/>
    <w:rsid w:val="00F92BEE"/>
    <w:rsid w:val="00F9540C"/>
    <w:rsid w:val="00FA521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22</Pages>
  <Words>6649</Words>
  <Characters>39898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Maria Legwińska</cp:lastModifiedBy>
  <cp:revision>63</cp:revision>
  <cp:lastPrinted>2015-11-12T13:53:00Z</cp:lastPrinted>
  <dcterms:created xsi:type="dcterms:W3CDTF">2014-11-07T08:41:00Z</dcterms:created>
  <dcterms:modified xsi:type="dcterms:W3CDTF">2015-12-22T09:10:00Z</dcterms:modified>
</cp:coreProperties>
</file>